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16FF8" w:rsidRPr="00377102" w:rsidRDefault="00916FF8">
      <w:pPr>
        <w:jc w:val="right"/>
        <w:rPr>
          <w:rFonts w:cs="Miriam"/>
          <w:b/>
          <w:bCs/>
          <w:sz w:val="16"/>
          <w:szCs w:val="16"/>
          <w:u w:val="single"/>
        </w:rPr>
      </w:pPr>
      <w:bookmarkStart w:id="0" w:name="_GoBack"/>
      <w:bookmarkEnd w:id="0"/>
    </w:p>
    <w:p w:rsidR="00916FF8" w:rsidRPr="00377102" w:rsidRDefault="00916FF8">
      <w:pPr>
        <w:jc w:val="right"/>
        <w:rPr>
          <w:rFonts w:cs="Miriam"/>
          <w:b/>
          <w:bCs/>
          <w:sz w:val="16"/>
          <w:szCs w:val="16"/>
          <w:u w:val="single"/>
        </w:rPr>
      </w:pPr>
    </w:p>
    <w:tbl>
      <w:tblPr>
        <w:bidiVisual/>
        <w:tblW w:w="8363" w:type="dxa"/>
        <w:tblInd w:w="9" w:type="dxa"/>
        <w:tblLook w:val="0000" w:firstRow="0" w:lastRow="0" w:firstColumn="0" w:lastColumn="0" w:noHBand="0" w:noVBand="0"/>
      </w:tblPr>
      <w:tblGrid>
        <w:gridCol w:w="8363"/>
      </w:tblGrid>
      <w:tr w:rsidR="00036227" w:rsidTr="0039709B">
        <w:tc>
          <w:tcPr>
            <w:tcW w:w="7848" w:type="dxa"/>
          </w:tcPr>
          <w:p w:rsidR="00916FF8" w:rsidRPr="00624A42" w:rsidRDefault="0088731A" w:rsidP="004C7868">
            <w:pPr>
              <w:pStyle w:val="FileNumber0"/>
              <w:rPr>
                <w:sz w:val="28"/>
                <w:u w:val="single"/>
                <w:rtl/>
              </w:rPr>
            </w:pPr>
            <w:r>
              <w:rPr>
                <w:u w:val="single"/>
                <w:rtl/>
              </w:rPr>
              <w:t>בבית המשפט העליון בשבתו כבית משפט גבוה לצדק</w:t>
            </w:r>
          </w:p>
        </w:tc>
      </w:tr>
    </w:tbl>
    <w:p w:rsidR="00916FF8" w:rsidRDefault="00916FF8">
      <w:pPr>
        <w:jc w:val="right"/>
        <w:rPr>
          <w:rFonts w:cs="Miriam"/>
          <w:b/>
          <w:bCs/>
          <w:u w:val="single"/>
        </w:rPr>
      </w:pPr>
    </w:p>
    <w:tbl>
      <w:tblPr>
        <w:bidiVisual/>
        <w:tblW w:w="8363" w:type="dxa"/>
        <w:tblLook w:val="0000" w:firstRow="0" w:lastRow="0" w:firstColumn="0" w:lastColumn="0" w:noHBand="0" w:noVBand="0"/>
      </w:tblPr>
      <w:tblGrid>
        <w:gridCol w:w="8363"/>
      </w:tblGrid>
      <w:tr w:rsidR="00036227" w:rsidTr="0039709B">
        <w:trPr>
          <w:trHeight w:val="342"/>
        </w:trPr>
        <w:tc>
          <w:tcPr>
            <w:tcW w:w="9828" w:type="dxa"/>
          </w:tcPr>
          <w:p w:rsidR="00916FF8" w:rsidRPr="00810894" w:rsidRDefault="0088731A">
            <w:pPr>
              <w:pStyle w:val="FileNumber"/>
              <w:rPr>
                <w:sz w:val="28"/>
                <w:szCs w:val="28"/>
              </w:rPr>
            </w:pPr>
            <w:bookmarkStart w:id="1" w:name="casename_body"/>
            <w:r>
              <w:rPr>
                <w:sz w:val="28"/>
                <w:szCs w:val="28"/>
                <w:rtl/>
              </w:rPr>
              <w:t>בג"ץ  3231/23</w:t>
            </w:r>
          </w:p>
        </w:tc>
      </w:tr>
      <w:bookmarkEnd w:id="1"/>
    </w:tbl>
    <w:p w:rsidR="00916FF8" w:rsidRDefault="00916FF8">
      <w:pPr>
        <w:jc w:val="right"/>
        <w:rPr>
          <w:rFonts w:cs="Miriam"/>
          <w:b/>
          <w:bCs/>
          <w:u w:val="single"/>
        </w:rPr>
      </w:pPr>
    </w:p>
    <w:tbl>
      <w:tblPr>
        <w:bidiVisual/>
        <w:tblW w:w="8364" w:type="dxa"/>
        <w:tblLayout w:type="fixed"/>
        <w:tblLook w:val="0000" w:firstRow="0" w:lastRow="0" w:firstColumn="0" w:lastColumn="0" w:noHBand="0" w:noVBand="0"/>
      </w:tblPr>
      <w:tblGrid>
        <w:gridCol w:w="3210"/>
        <w:gridCol w:w="5154"/>
      </w:tblGrid>
      <w:tr w:rsidR="00036227" w:rsidTr="00EC23AC">
        <w:trPr>
          <w:trHeight w:val="287"/>
        </w:trPr>
        <w:tc>
          <w:tcPr>
            <w:tcW w:w="3261" w:type="dxa"/>
          </w:tcPr>
          <w:p w:rsidR="00036227" w:rsidRDefault="00CB7600">
            <w:pPr>
              <w:pStyle w:val="BodyRuller"/>
              <w:rPr>
                <w:rFonts w:cs="Miriam"/>
                <w:b/>
                <w:bCs/>
                <w:u w:val="single"/>
              </w:rPr>
            </w:pPr>
            <w:r>
              <w:rPr>
                <w:rFonts w:hint="cs"/>
                <w:rtl/>
              </w:rPr>
              <w:t>ל</w:t>
            </w:r>
            <w:r w:rsidR="00036227">
              <w:rPr>
                <w:rtl/>
              </w:rPr>
              <w:t>פני:</w:t>
            </w:r>
            <w:r w:rsidR="00036227">
              <w:rPr>
                <w:rtl/>
              </w:rPr>
              <w:tab/>
            </w:r>
          </w:p>
        </w:tc>
        <w:tc>
          <w:tcPr>
            <w:tcW w:w="5239" w:type="dxa"/>
          </w:tcPr>
          <w:p w:rsidR="00036227" w:rsidRDefault="0088731A">
            <w:pPr>
              <w:pStyle w:val="BodyRuller"/>
            </w:pPr>
            <w:r>
              <w:rPr>
                <w:rtl/>
              </w:rPr>
              <w:t xml:space="preserve">כבוד השופטת י' </w:t>
            </w:r>
            <w:proofErr w:type="spellStart"/>
            <w:r>
              <w:rPr>
                <w:rtl/>
              </w:rPr>
              <w:t>וילנר</w:t>
            </w:r>
            <w:proofErr w:type="spellEnd"/>
          </w:p>
        </w:tc>
      </w:tr>
      <w:tr w:rsidR="0088731A" w:rsidTr="00EC23AC">
        <w:trPr>
          <w:trHeight w:val="287"/>
        </w:trPr>
        <w:tc>
          <w:tcPr>
            <w:tcW w:w="3261" w:type="dxa"/>
          </w:tcPr>
          <w:p w:rsidR="0088731A" w:rsidRDefault="0088731A">
            <w:pPr>
              <w:pStyle w:val="BodyRuller"/>
              <w:rPr>
                <w:rtl/>
              </w:rPr>
            </w:pPr>
          </w:p>
        </w:tc>
        <w:tc>
          <w:tcPr>
            <w:tcW w:w="5239" w:type="dxa"/>
          </w:tcPr>
          <w:p w:rsidR="0088731A" w:rsidRDefault="0088731A">
            <w:pPr>
              <w:pStyle w:val="BodyRuller"/>
              <w:rPr>
                <w:rtl/>
              </w:rPr>
            </w:pPr>
            <w:r>
              <w:rPr>
                <w:rtl/>
              </w:rPr>
              <w:t>כבוד השופטת ג' כנפי-שטייניץ</w:t>
            </w:r>
          </w:p>
        </w:tc>
      </w:tr>
      <w:tr w:rsidR="0088731A" w:rsidTr="00EC23AC">
        <w:trPr>
          <w:trHeight w:val="287"/>
        </w:trPr>
        <w:tc>
          <w:tcPr>
            <w:tcW w:w="3261" w:type="dxa"/>
          </w:tcPr>
          <w:p w:rsidR="0088731A" w:rsidRDefault="0088731A">
            <w:pPr>
              <w:pStyle w:val="BodyRuller"/>
              <w:rPr>
                <w:rtl/>
              </w:rPr>
            </w:pPr>
          </w:p>
        </w:tc>
        <w:tc>
          <w:tcPr>
            <w:tcW w:w="5239" w:type="dxa"/>
          </w:tcPr>
          <w:p w:rsidR="0088731A" w:rsidRDefault="0088731A">
            <w:pPr>
              <w:pStyle w:val="BodyRuller"/>
              <w:rPr>
                <w:rtl/>
              </w:rPr>
            </w:pPr>
            <w:r>
              <w:rPr>
                <w:rtl/>
              </w:rPr>
              <w:t>כבוד השופטת ר' רונן</w:t>
            </w:r>
          </w:p>
        </w:tc>
      </w:tr>
    </w:tbl>
    <w:p w:rsidR="00916FF8" w:rsidRDefault="00916FF8">
      <w:pPr>
        <w:pStyle w:val="Ruller3"/>
        <w:rPr>
          <w:rFonts w:cs="Miriam"/>
          <w:b/>
          <w:bCs/>
          <w:u w:val="single"/>
          <w:rtl/>
        </w:rPr>
      </w:pPr>
    </w:p>
    <w:tbl>
      <w:tblPr>
        <w:bidiVisual/>
        <w:tblW w:w="8364" w:type="dxa"/>
        <w:tblLayout w:type="fixed"/>
        <w:tblLook w:val="0000" w:firstRow="0" w:lastRow="0" w:firstColumn="0" w:lastColumn="0" w:noHBand="0" w:noVBand="0"/>
      </w:tblPr>
      <w:tblGrid>
        <w:gridCol w:w="3210"/>
        <w:gridCol w:w="5154"/>
      </w:tblGrid>
      <w:tr w:rsidR="00D00CB7" w:rsidTr="00DD6306">
        <w:trPr>
          <w:trHeight w:val="287"/>
        </w:trPr>
        <w:tc>
          <w:tcPr>
            <w:tcW w:w="3261" w:type="dxa"/>
          </w:tcPr>
          <w:p w:rsidR="00D00CB7" w:rsidRPr="00E75223" w:rsidRDefault="0088731A" w:rsidP="00DD6306">
            <w:pPr>
              <w:pStyle w:val="BodyRuller"/>
              <w:rPr>
                <w:rFonts w:ascii="David" w:hAnsi="David"/>
              </w:rPr>
            </w:pPr>
            <w:r>
              <w:rPr>
                <w:rFonts w:ascii="David" w:hAnsi="David"/>
                <w:rtl/>
              </w:rPr>
              <w:t>העותר:</w:t>
            </w:r>
          </w:p>
        </w:tc>
        <w:tc>
          <w:tcPr>
            <w:tcW w:w="5239" w:type="dxa"/>
          </w:tcPr>
          <w:p w:rsidR="00D00CB7" w:rsidRDefault="0088731A" w:rsidP="00DD6306">
            <w:pPr>
              <w:pStyle w:val="BodyRuller"/>
            </w:pPr>
            <w:proofErr w:type="spellStart"/>
            <w:r>
              <w:rPr>
                <w:rtl/>
              </w:rPr>
              <w:t>סאמי</w:t>
            </w:r>
            <w:proofErr w:type="spellEnd"/>
            <w:r>
              <w:rPr>
                <w:rtl/>
              </w:rPr>
              <w:t xml:space="preserve"> מוחמד תאיה </w:t>
            </w:r>
            <w:proofErr w:type="spellStart"/>
            <w:r>
              <w:rPr>
                <w:rtl/>
              </w:rPr>
              <w:t>דארחואגא</w:t>
            </w:r>
            <w:proofErr w:type="spellEnd"/>
          </w:p>
        </w:tc>
      </w:tr>
    </w:tbl>
    <w:p w:rsidR="00D00CB7" w:rsidRDefault="00D00CB7">
      <w:pPr>
        <w:pStyle w:val="Ruller3"/>
      </w:pPr>
    </w:p>
    <w:tbl>
      <w:tblPr>
        <w:bidiVisual/>
        <w:tblW w:w="8363" w:type="dxa"/>
        <w:tblLook w:val="0000" w:firstRow="0" w:lastRow="0" w:firstColumn="0" w:lastColumn="0" w:noHBand="0" w:noVBand="0"/>
      </w:tblPr>
      <w:tblGrid>
        <w:gridCol w:w="3222"/>
        <w:gridCol w:w="5141"/>
      </w:tblGrid>
      <w:tr w:rsidR="00036227" w:rsidTr="0039709B">
        <w:tc>
          <w:tcPr>
            <w:tcW w:w="3284" w:type="dxa"/>
          </w:tcPr>
          <w:p w:rsidR="00036227" w:rsidRDefault="00036227">
            <w:pPr>
              <w:pStyle w:val="BodyRuller"/>
            </w:pPr>
          </w:p>
        </w:tc>
        <w:tc>
          <w:tcPr>
            <w:tcW w:w="5238" w:type="dxa"/>
          </w:tcPr>
          <w:p w:rsidR="00036227" w:rsidRDefault="00036227">
            <w:pPr>
              <w:pStyle w:val="BodyRuller"/>
            </w:pPr>
            <w:r>
              <w:rPr>
                <w:rFonts w:hint="cs"/>
                <w:rtl/>
              </w:rPr>
              <w:t>נ</w:t>
            </w:r>
            <w:r>
              <w:t xml:space="preserve">  </w:t>
            </w:r>
            <w:r>
              <w:rPr>
                <w:rFonts w:hint="cs"/>
                <w:rtl/>
              </w:rPr>
              <w:t>ג</w:t>
            </w:r>
            <w:r>
              <w:t xml:space="preserve">  </w:t>
            </w:r>
            <w:r>
              <w:rPr>
                <w:rFonts w:hint="cs"/>
                <w:rtl/>
              </w:rPr>
              <w:t>ד</w:t>
            </w:r>
          </w:p>
        </w:tc>
      </w:tr>
    </w:tbl>
    <w:p w:rsidR="00916FF8" w:rsidRDefault="00916FF8">
      <w:pPr>
        <w:pStyle w:val="Ruller3"/>
        <w:rPr>
          <w:rtl/>
        </w:rPr>
      </w:pPr>
    </w:p>
    <w:tbl>
      <w:tblPr>
        <w:bidiVisual/>
        <w:tblW w:w="8364" w:type="dxa"/>
        <w:tblLayout w:type="fixed"/>
        <w:tblLook w:val="0000" w:firstRow="0" w:lastRow="0" w:firstColumn="0" w:lastColumn="0" w:noHBand="0" w:noVBand="0"/>
      </w:tblPr>
      <w:tblGrid>
        <w:gridCol w:w="3210"/>
        <w:gridCol w:w="5154"/>
      </w:tblGrid>
      <w:tr w:rsidR="0083345F" w:rsidTr="00DD6306">
        <w:trPr>
          <w:trHeight w:val="287"/>
        </w:trPr>
        <w:tc>
          <w:tcPr>
            <w:tcW w:w="3261" w:type="dxa"/>
          </w:tcPr>
          <w:p w:rsidR="0083345F" w:rsidRPr="00E75223" w:rsidRDefault="0088731A" w:rsidP="00DD6306">
            <w:pPr>
              <w:pStyle w:val="BodyRuller"/>
              <w:rPr>
                <w:rFonts w:ascii="David" w:hAnsi="David"/>
              </w:rPr>
            </w:pPr>
            <w:r>
              <w:rPr>
                <w:rFonts w:ascii="David" w:hAnsi="David"/>
                <w:rtl/>
              </w:rPr>
              <w:t>המשיב:</w:t>
            </w:r>
          </w:p>
        </w:tc>
        <w:tc>
          <w:tcPr>
            <w:tcW w:w="5239" w:type="dxa"/>
          </w:tcPr>
          <w:p w:rsidR="0083345F" w:rsidRDefault="0088731A" w:rsidP="00DD6306">
            <w:pPr>
              <w:pStyle w:val="BodyRuller"/>
            </w:pPr>
            <w:r>
              <w:rPr>
                <w:rtl/>
              </w:rPr>
              <w:t>אלוף פיקוד המרכז</w:t>
            </w:r>
          </w:p>
        </w:tc>
      </w:tr>
    </w:tbl>
    <w:p w:rsidR="0083345F" w:rsidRDefault="0083345F">
      <w:pPr>
        <w:pStyle w:val="Ruller3"/>
      </w:pPr>
    </w:p>
    <w:tbl>
      <w:tblPr>
        <w:bidiVisual/>
        <w:tblW w:w="0" w:type="auto"/>
        <w:tblInd w:w="3209" w:type="dxa"/>
        <w:tblLook w:val="0000" w:firstRow="0" w:lastRow="0" w:firstColumn="0" w:lastColumn="0" w:noHBand="0" w:noVBand="0"/>
      </w:tblPr>
      <w:tblGrid>
        <w:gridCol w:w="5103"/>
      </w:tblGrid>
      <w:tr w:rsidR="00036227" w:rsidTr="00CA1444">
        <w:tc>
          <w:tcPr>
            <w:tcW w:w="5103" w:type="dxa"/>
          </w:tcPr>
          <w:p w:rsidR="00916FF8" w:rsidRPr="00265F6E" w:rsidRDefault="00BC1E1F">
            <w:pPr>
              <w:pStyle w:val="BodyRuller"/>
              <w:rPr>
                <w:sz w:val="24"/>
                <w:szCs w:val="24"/>
              </w:rPr>
            </w:pPr>
            <w:r>
              <w:rPr>
                <w:rFonts w:hint="cs"/>
                <w:sz w:val="24"/>
                <w:szCs w:val="24"/>
                <w:rtl/>
              </w:rPr>
              <w:t>עתירה למתן צו על תנאי וצו ביניים</w:t>
            </w:r>
          </w:p>
        </w:tc>
      </w:tr>
    </w:tbl>
    <w:p w:rsidR="00916FF8" w:rsidRDefault="00916FF8">
      <w:pPr>
        <w:pStyle w:val="Ruller3"/>
        <w:rPr>
          <w:rtl/>
        </w:rPr>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0"/>
        <w:gridCol w:w="2423"/>
        <w:gridCol w:w="2710"/>
      </w:tblGrid>
      <w:tr w:rsidR="008C2F11" w:rsidTr="00D00B1D">
        <w:tc>
          <w:tcPr>
            <w:tcW w:w="3212" w:type="dxa"/>
            <w:tcBorders>
              <w:top w:val="nil"/>
              <w:left w:val="nil"/>
              <w:bottom w:val="nil"/>
              <w:right w:val="nil"/>
            </w:tcBorders>
          </w:tcPr>
          <w:p w:rsidR="008C2F11" w:rsidRPr="00265F6E" w:rsidRDefault="008C2F11">
            <w:pPr>
              <w:pStyle w:val="BodyRuller"/>
              <w:rPr>
                <w:sz w:val="24"/>
                <w:szCs w:val="24"/>
              </w:rPr>
            </w:pPr>
            <w:r w:rsidRPr="00265F6E">
              <w:rPr>
                <w:sz w:val="24"/>
                <w:szCs w:val="24"/>
                <w:rtl/>
              </w:rPr>
              <w:t>תאריך הישיבה:</w:t>
            </w:r>
          </w:p>
        </w:tc>
        <w:tc>
          <w:tcPr>
            <w:tcW w:w="2409" w:type="dxa"/>
            <w:tcBorders>
              <w:top w:val="nil"/>
              <w:left w:val="nil"/>
              <w:bottom w:val="nil"/>
              <w:right w:val="nil"/>
            </w:tcBorders>
          </w:tcPr>
          <w:p w:rsidR="008C2F11" w:rsidRDefault="0088731A">
            <w:pPr>
              <w:pStyle w:val="BodyRuller"/>
              <w:rPr>
                <w:rtl/>
              </w:rPr>
            </w:pPr>
            <w:r>
              <w:rPr>
                <w:sz w:val="24"/>
                <w:szCs w:val="24"/>
                <w:rtl/>
              </w:rPr>
              <w:t xml:space="preserve">י"ג באייר </w:t>
            </w:r>
            <w:proofErr w:type="spellStart"/>
            <w:r>
              <w:rPr>
                <w:sz w:val="24"/>
                <w:szCs w:val="24"/>
                <w:rtl/>
              </w:rPr>
              <w:t>התשפ"ג</w:t>
            </w:r>
            <w:proofErr w:type="spellEnd"/>
            <w:r w:rsidR="008C2F11">
              <w:t xml:space="preserve">       </w:t>
            </w:r>
          </w:p>
        </w:tc>
        <w:tc>
          <w:tcPr>
            <w:tcW w:w="2694" w:type="dxa"/>
            <w:tcBorders>
              <w:top w:val="nil"/>
              <w:left w:val="nil"/>
              <w:bottom w:val="nil"/>
              <w:right w:val="nil"/>
            </w:tcBorders>
          </w:tcPr>
          <w:p w:rsidR="008C2F11" w:rsidRDefault="0088731A">
            <w:pPr>
              <w:pStyle w:val="BodyRuller"/>
              <w:rPr>
                <w:sz w:val="24"/>
                <w:szCs w:val="24"/>
                <w:rtl/>
              </w:rPr>
            </w:pPr>
            <w:r>
              <w:t>(04.05.2023)</w:t>
            </w:r>
            <w:r w:rsidR="00200D6B">
              <w:t xml:space="preserve"> </w:t>
            </w:r>
          </w:p>
        </w:tc>
      </w:tr>
    </w:tbl>
    <w:p w:rsidR="00916FF8" w:rsidRDefault="00916FF8">
      <w:pPr>
        <w:pStyle w:val="Ruller3"/>
      </w:pPr>
    </w:p>
    <w:tbl>
      <w:tblPr>
        <w:bidiVisual/>
        <w:tblW w:w="83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2"/>
        <w:gridCol w:w="5151"/>
      </w:tblGrid>
      <w:tr w:rsidR="00036227" w:rsidTr="00D00B1D">
        <w:tc>
          <w:tcPr>
            <w:tcW w:w="3257" w:type="dxa"/>
            <w:tcBorders>
              <w:top w:val="nil"/>
              <w:left w:val="nil"/>
              <w:bottom w:val="nil"/>
              <w:right w:val="nil"/>
            </w:tcBorders>
          </w:tcPr>
          <w:p w:rsidR="00036227" w:rsidRDefault="0088731A">
            <w:pPr>
              <w:pStyle w:val="BodyRuller"/>
            </w:pPr>
            <w:r>
              <w:rPr>
                <w:rtl/>
              </w:rPr>
              <w:t>בשם העותר:</w:t>
            </w:r>
          </w:p>
        </w:tc>
        <w:tc>
          <w:tcPr>
            <w:tcW w:w="5238" w:type="dxa"/>
            <w:tcBorders>
              <w:top w:val="nil"/>
              <w:left w:val="nil"/>
              <w:bottom w:val="nil"/>
              <w:right w:val="nil"/>
            </w:tcBorders>
          </w:tcPr>
          <w:p w:rsidR="00036227" w:rsidRDefault="0088731A" w:rsidP="00BC1E1F">
            <w:pPr>
              <w:pStyle w:val="BodyRuller"/>
            </w:pPr>
            <w:r>
              <w:rPr>
                <w:rtl/>
              </w:rPr>
              <w:t xml:space="preserve">עו"ד </w:t>
            </w:r>
            <w:r w:rsidR="00BC1E1F">
              <w:rPr>
                <w:rFonts w:hint="cs"/>
                <w:rtl/>
              </w:rPr>
              <w:t xml:space="preserve">מוחמד </w:t>
            </w:r>
            <w:r>
              <w:rPr>
                <w:rtl/>
              </w:rPr>
              <w:t xml:space="preserve">אבו </w:t>
            </w:r>
            <w:proofErr w:type="spellStart"/>
            <w:r>
              <w:rPr>
                <w:rtl/>
              </w:rPr>
              <w:t>סנינה</w:t>
            </w:r>
            <w:proofErr w:type="spellEnd"/>
            <w:r>
              <w:rPr>
                <w:rtl/>
              </w:rPr>
              <w:t xml:space="preserve"> </w:t>
            </w:r>
          </w:p>
        </w:tc>
      </w:tr>
    </w:tbl>
    <w:p w:rsidR="00916FF8" w:rsidRDefault="00916FF8">
      <w:pPr>
        <w:pStyle w:val="Ruller3"/>
      </w:pPr>
    </w:p>
    <w:tbl>
      <w:tblPr>
        <w:bidiVisual/>
        <w:tblW w:w="8363"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13"/>
        <w:gridCol w:w="5150"/>
      </w:tblGrid>
      <w:tr w:rsidR="00036227" w:rsidTr="00D00B1D">
        <w:tc>
          <w:tcPr>
            <w:tcW w:w="3257" w:type="dxa"/>
            <w:tcBorders>
              <w:top w:val="nil"/>
              <w:left w:val="nil"/>
              <w:bottom w:val="nil"/>
              <w:right w:val="nil"/>
            </w:tcBorders>
          </w:tcPr>
          <w:p w:rsidR="00036227" w:rsidRDefault="0088731A">
            <w:pPr>
              <w:pStyle w:val="BodyRuller"/>
            </w:pPr>
            <w:r>
              <w:rPr>
                <w:rtl/>
              </w:rPr>
              <w:t>בשם המשיב:</w:t>
            </w:r>
          </w:p>
        </w:tc>
        <w:tc>
          <w:tcPr>
            <w:tcW w:w="5238" w:type="dxa"/>
            <w:tcBorders>
              <w:top w:val="nil"/>
              <w:left w:val="nil"/>
              <w:bottom w:val="nil"/>
              <w:right w:val="nil"/>
            </w:tcBorders>
          </w:tcPr>
          <w:p w:rsidR="00036227" w:rsidRDefault="0088731A" w:rsidP="00BC1E1F">
            <w:pPr>
              <w:pStyle w:val="BodyRuller"/>
            </w:pPr>
            <w:r>
              <w:rPr>
                <w:rtl/>
              </w:rPr>
              <w:t xml:space="preserve">עו"ד </w:t>
            </w:r>
            <w:r w:rsidR="00BC1E1F">
              <w:rPr>
                <w:rFonts w:hint="cs"/>
                <w:rtl/>
              </w:rPr>
              <w:t xml:space="preserve">יונתן </w:t>
            </w:r>
            <w:r w:rsidR="00BC1E1F">
              <w:rPr>
                <w:rtl/>
              </w:rPr>
              <w:t>ברמן</w:t>
            </w:r>
            <w:r w:rsidR="00BC1E1F">
              <w:rPr>
                <w:rFonts w:hint="cs"/>
                <w:rtl/>
              </w:rPr>
              <w:t xml:space="preserve">; עו"ד יונתן </w:t>
            </w:r>
            <w:proofErr w:type="spellStart"/>
            <w:r w:rsidR="00BC1E1F">
              <w:rPr>
                <w:rFonts w:hint="cs"/>
                <w:rtl/>
              </w:rPr>
              <w:t>נד"ב</w:t>
            </w:r>
            <w:proofErr w:type="spellEnd"/>
          </w:p>
        </w:tc>
      </w:tr>
    </w:tbl>
    <w:p w:rsidR="00916FF8" w:rsidRDefault="00916FF8">
      <w:pPr>
        <w:tabs>
          <w:tab w:val="left" w:pos="2552"/>
        </w:tabs>
        <w:rPr>
          <w:rtl/>
        </w:rPr>
      </w:pPr>
    </w:p>
    <w:p w:rsidR="00BC1E1F" w:rsidRPr="00BC1E1F" w:rsidRDefault="00BC1E1F">
      <w:pPr>
        <w:tabs>
          <w:tab w:val="left" w:pos="2552"/>
        </w:tabs>
      </w:pPr>
    </w:p>
    <w:tbl>
      <w:tblPr>
        <w:bidiVisual/>
        <w:tblW w:w="8363" w:type="dxa"/>
        <w:tblLook w:val="0000" w:firstRow="0" w:lastRow="0" w:firstColumn="0" w:lastColumn="0" w:noHBand="0" w:noVBand="0"/>
      </w:tblPr>
      <w:tblGrid>
        <w:gridCol w:w="8363"/>
      </w:tblGrid>
      <w:tr w:rsidR="00036227" w:rsidTr="00D00B1D">
        <w:tc>
          <w:tcPr>
            <w:tcW w:w="9837" w:type="dxa"/>
          </w:tcPr>
          <w:p w:rsidR="00916FF8" w:rsidRDefault="0088731A">
            <w:pPr>
              <w:pStyle w:val="DocumentHead"/>
            </w:pPr>
            <w:bookmarkStart w:id="2" w:name="secretary"/>
            <w:bookmarkStart w:id="3" w:name="BeginProtocol"/>
            <w:bookmarkEnd w:id="2"/>
            <w:bookmarkEnd w:id="3"/>
            <w:r>
              <w:rPr>
                <w:rtl/>
              </w:rPr>
              <w:t>פסק-דין</w:t>
            </w:r>
          </w:p>
        </w:tc>
      </w:tr>
    </w:tbl>
    <w:p w:rsidR="0065522F" w:rsidRDefault="0065522F">
      <w:pPr>
        <w:pStyle w:val="BODYVERDICT"/>
      </w:pPr>
    </w:p>
    <w:p w:rsidR="00916FF8" w:rsidRPr="00503A3E" w:rsidRDefault="0088731A">
      <w:pPr>
        <w:pStyle w:val="BODYVERDICT"/>
        <w:rPr>
          <w:rFonts w:cs="Miriam"/>
          <w:sz w:val="24"/>
          <w:szCs w:val="24"/>
          <w:u w:val="single"/>
          <w:rtl/>
        </w:rPr>
      </w:pPr>
      <w:bookmarkStart w:id="4" w:name="Writer_Name"/>
      <w:bookmarkEnd w:id="4"/>
      <w:r>
        <w:rPr>
          <w:rFonts w:cs="Miriam"/>
          <w:sz w:val="24"/>
          <w:szCs w:val="24"/>
          <w:u w:val="single"/>
          <w:rtl/>
        </w:rPr>
        <w:t xml:space="preserve">השופטת י' </w:t>
      </w:r>
      <w:proofErr w:type="spellStart"/>
      <w:r>
        <w:rPr>
          <w:rFonts w:cs="Miriam"/>
          <w:sz w:val="24"/>
          <w:szCs w:val="24"/>
          <w:u w:val="single"/>
          <w:rtl/>
        </w:rPr>
        <w:t>וילנר</w:t>
      </w:r>
      <w:proofErr w:type="spellEnd"/>
      <w:r>
        <w:rPr>
          <w:rFonts w:cs="Miriam"/>
          <w:sz w:val="24"/>
          <w:szCs w:val="24"/>
          <w:u w:val="single"/>
          <w:rtl/>
        </w:rPr>
        <w:t>:</w:t>
      </w:r>
    </w:p>
    <w:p w:rsidR="000B1478" w:rsidRDefault="000B1478" w:rsidP="00A51FAE">
      <w:pPr>
        <w:pStyle w:val="Ruller41"/>
        <w:rPr>
          <w:rtl/>
        </w:rPr>
      </w:pPr>
      <w:bookmarkStart w:id="5" w:name="Start_Write"/>
      <w:bookmarkEnd w:id="5"/>
    </w:p>
    <w:p w:rsidR="003846A8" w:rsidRDefault="003846A8" w:rsidP="003846A8">
      <w:pPr>
        <w:pStyle w:val="Ruller41"/>
        <w:rPr>
          <w:rtl/>
        </w:rPr>
      </w:pPr>
      <w:r>
        <w:rPr>
          <w:rFonts w:hint="cs"/>
          <w:rtl/>
        </w:rPr>
        <w:t>1.</w:t>
      </w:r>
      <w:r>
        <w:rPr>
          <w:rtl/>
        </w:rPr>
        <w:tab/>
      </w:r>
      <w:r>
        <w:rPr>
          <w:rFonts w:hint="cs"/>
          <w:rtl/>
        </w:rPr>
        <w:t xml:space="preserve">עניינה של העתירה שלפנינו בצו החרמה והריסה שהוציא המשיב (להלן גם: </w:t>
      </w:r>
      <w:r>
        <w:rPr>
          <w:rFonts w:ascii="Century" w:hAnsi="Century" w:cs="Miriam" w:hint="cs"/>
          <w:b/>
          <w:spacing w:val="0"/>
          <w:szCs w:val="24"/>
          <w:rtl/>
        </w:rPr>
        <w:t>המפקד הצבאי</w:t>
      </w:r>
      <w:r>
        <w:rPr>
          <w:rFonts w:ascii="Century" w:hAnsi="Century" w:hint="cs"/>
          <w:rtl/>
        </w:rPr>
        <w:t>)</w:t>
      </w:r>
      <w:r>
        <w:rPr>
          <w:rFonts w:hint="cs"/>
          <w:rtl/>
        </w:rPr>
        <w:t xml:space="preserve"> מכוח תקנה 119 לתקנות ההגנה (שעת-חירום), 1945, ביחס לדירה שבה התגורר </w:t>
      </w:r>
      <w:proofErr w:type="spellStart"/>
      <w:r>
        <w:rPr>
          <w:rFonts w:hint="cs"/>
          <w:rtl/>
        </w:rPr>
        <w:t>מועתז</w:t>
      </w:r>
      <w:proofErr w:type="spellEnd"/>
      <w:r>
        <w:rPr>
          <w:rFonts w:hint="cs"/>
          <w:rtl/>
        </w:rPr>
        <w:t xml:space="preserve"> באללה </w:t>
      </w:r>
      <w:proofErr w:type="spellStart"/>
      <w:r>
        <w:rPr>
          <w:rFonts w:hint="cs"/>
          <w:rtl/>
        </w:rPr>
        <w:t>חואגא</w:t>
      </w:r>
      <w:proofErr w:type="spellEnd"/>
      <w:r w:rsidRPr="00FD68B7">
        <w:rPr>
          <w:rFonts w:hint="cs"/>
          <w:rtl/>
        </w:rPr>
        <w:t xml:space="preserve"> </w:t>
      </w:r>
      <w:r>
        <w:rPr>
          <w:rFonts w:hint="cs"/>
          <w:rtl/>
        </w:rPr>
        <w:t xml:space="preserve">(להלן בהתאמה: </w:t>
      </w:r>
      <w:r>
        <w:rPr>
          <w:rFonts w:ascii="Century" w:hAnsi="Century" w:cs="Miriam" w:hint="cs"/>
          <w:b/>
          <w:spacing w:val="0"/>
          <w:szCs w:val="24"/>
          <w:rtl/>
        </w:rPr>
        <w:t>הצו</w:t>
      </w:r>
      <w:r>
        <w:rPr>
          <w:rFonts w:ascii="Century" w:hAnsi="Century" w:hint="cs"/>
          <w:rtl/>
        </w:rPr>
        <w:t xml:space="preserve">, </w:t>
      </w:r>
      <w:r w:rsidRPr="00ED4D4E">
        <w:rPr>
          <w:rFonts w:ascii="Century" w:hAnsi="Century" w:cs="Miriam" w:hint="cs"/>
          <w:b/>
          <w:spacing w:val="0"/>
          <w:szCs w:val="24"/>
          <w:rtl/>
        </w:rPr>
        <w:t>תקנה 119</w:t>
      </w:r>
      <w:r>
        <w:rPr>
          <w:rFonts w:hint="cs"/>
          <w:rtl/>
        </w:rPr>
        <w:t xml:space="preserve"> או </w:t>
      </w:r>
      <w:r>
        <w:rPr>
          <w:rFonts w:ascii="Century" w:hAnsi="Century" w:cs="Miriam" w:hint="cs"/>
          <w:b/>
          <w:spacing w:val="0"/>
          <w:szCs w:val="24"/>
          <w:rtl/>
        </w:rPr>
        <w:t>התקנה</w:t>
      </w:r>
      <w:r>
        <w:rPr>
          <w:rFonts w:ascii="Century" w:hAnsi="Century" w:hint="cs"/>
          <w:rtl/>
        </w:rPr>
        <w:t>,</w:t>
      </w:r>
      <w:r>
        <w:rPr>
          <w:rFonts w:hint="cs"/>
          <w:rtl/>
        </w:rPr>
        <w:t xml:space="preserve"> </w:t>
      </w:r>
      <w:r>
        <w:rPr>
          <w:rFonts w:ascii="Century" w:hAnsi="Century" w:cs="Miriam" w:hint="cs"/>
          <w:b/>
          <w:spacing w:val="0"/>
          <w:szCs w:val="24"/>
          <w:rtl/>
        </w:rPr>
        <w:t>הדירה</w:t>
      </w:r>
      <w:r w:rsidRPr="009924A0">
        <w:rPr>
          <w:rFonts w:ascii="Century" w:hAnsi="Century" w:cs="Miriam" w:hint="cs"/>
          <w:b/>
          <w:spacing w:val="0"/>
          <w:szCs w:val="24"/>
          <w:rtl/>
        </w:rPr>
        <w:t xml:space="preserve"> </w:t>
      </w:r>
      <w:r>
        <w:rPr>
          <w:rFonts w:ascii="Century" w:hAnsi="Century" w:hint="cs"/>
          <w:rtl/>
        </w:rPr>
        <w:t>ו</w:t>
      </w:r>
      <w:r>
        <w:rPr>
          <w:rFonts w:ascii="Century" w:hAnsi="Century" w:cs="Miriam" w:hint="cs"/>
          <w:b/>
          <w:spacing w:val="0"/>
          <w:szCs w:val="24"/>
          <w:rtl/>
        </w:rPr>
        <w:t>המפגע</w:t>
      </w:r>
      <w:r>
        <w:rPr>
          <w:rFonts w:ascii="Century" w:hAnsi="Century" w:hint="cs"/>
          <w:rtl/>
        </w:rPr>
        <w:t>)</w:t>
      </w:r>
      <w:r>
        <w:rPr>
          <w:rFonts w:hint="cs"/>
          <w:rtl/>
        </w:rPr>
        <w:t xml:space="preserve">, שביצע פיגוע ירי קטלני וגרם למותו של אור אשכר ז"ל (להלן: </w:t>
      </w:r>
      <w:r>
        <w:rPr>
          <w:rFonts w:ascii="Century" w:hAnsi="Century" w:cs="Miriam" w:hint="cs"/>
          <w:b/>
          <w:spacing w:val="0"/>
          <w:szCs w:val="24"/>
          <w:rtl/>
        </w:rPr>
        <w:t>המנוח</w:t>
      </w:r>
      <w:r>
        <w:rPr>
          <w:rFonts w:ascii="Century" w:hAnsi="Century" w:hint="cs"/>
          <w:rtl/>
        </w:rPr>
        <w:t>)</w:t>
      </w:r>
      <w:r>
        <w:rPr>
          <w:rFonts w:hint="cs"/>
          <w:rtl/>
        </w:rPr>
        <w:t xml:space="preserve"> ולפציעתם של שני אזרחים נוספים.</w:t>
      </w:r>
    </w:p>
    <w:p w:rsidR="003846A8" w:rsidRDefault="003846A8" w:rsidP="003846A8">
      <w:pPr>
        <w:pStyle w:val="Ruller41"/>
        <w:rPr>
          <w:rtl/>
        </w:rPr>
      </w:pPr>
    </w:p>
    <w:p w:rsidR="003846A8" w:rsidRPr="00A2696D" w:rsidRDefault="003846A8" w:rsidP="003846A8">
      <w:pPr>
        <w:pStyle w:val="Ruller41"/>
        <w:rPr>
          <w:rFonts w:ascii="Century" w:hAnsi="Century" w:cs="Miriam"/>
          <w:b/>
          <w:spacing w:val="0"/>
          <w:szCs w:val="24"/>
          <w:rtl/>
        </w:rPr>
      </w:pPr>
      <w:r>
        <w:rPr>
          <w:rFonts w:ascii="Century" w:hAnsi="Century" w:cs="Miriam" w:hint="cs"/>
          <w:b/>
          <w:spacing w:val="0"/>
          <w:szCs w:val="24"/>
          <w:rtl/>
        </w:rPr>
        <w:t>הרקע לעתירה</w:t>
      </w:r>
    </w:p>
    <w:p w:rsidR="003846A8" w:rsidRDefault="003846A8" w:rsidP="003846A8">
      <w:pPr>
        <w:pStyle w:val="Ruller41"/>
        <w:rPr>
          <w:rtl/>
        </w:rPr>
      </w:pPr>
    </w:p>
    <w:p w:rsidR="003846A8" w:rsidRDefault="003846A8" w:rsidP="003846A8">
      <w:pPr>
        <w:pStyle w:val="Ruller41"/>
        <w:rPr>
          <w:rFonts w:ascii="Century" w:hAnsi="Century"/>
          <w:rtl/>
        </w:rPr>
      </w:pPr>
      <w:r>
        <w:rPr>
          <w:rFonts w:ascii="Century" w:hAnsi="Century" w:hint="cs"/>
          <w:rtl/>
        </w:rPr>
        <w:t>2.</w:t>
      </w:r>
      <w:r>
        <w:rPr>
          <w:rFonts w:ascii="Century" w:hAnsi="Century"/>
          <w:rtl/>
        </w:rPr>
        <w:tab/>
      </w:r>
      <w:r>
        <w:rPr>
          <w:rFonts w:ascii="Century" w:hAnsi="Century" w:hint="cs"/>
          <w:rtl/>
        </w:rPr>
        <w:t xml:space="preserve">ביום 9.3.2023 ביצע המפגע פיגוע קטלני ברחוב דיזינגוף בעיר תל-אביב-יפו, כאשר ירה מטווח קצר ביותר באזרחים ששהו במקום, ובתוך כך כאמור גרם למות המנוח </w:t>
      </w:r>
      <w:r>
        <w:rPr>
          <w:rFonts w:ascii="Century" w:hAnsi="Century" w:hint="cs"/>
          <w:rtl/>
        </w:rPr>
        <w:lastRenderedPageBreak/>
        <w:t xml:space="preserve">ולפציעת שני אזרחים נוספים (להלן: </w:t>
      </w:r>
      <w:r>
        <w:rPr>
          <w:rFonts w:ascii="Century" w:hAnsi="Century" w:cs="Miriam" w:hint="cs"/>
          <w:b/>
          <w:spacing w:val="0"/>
          <w:szCs w:val="24"/>
          <w:rtl/>
        </w:rPr>
        <w:t>הפיגוע</w:t>
      </w:r>
      <w:r>
        <w:rPr>
          <w:rFonts w:ascii="Century" w:hAnsi="Century" w:hint="cs"/>
          <w:rtl/>
        </w:rPr>
        <w:t>). מיד לאחר ביצוע הפיגוע נהרג המפגע כתוצאה מירי של עוברי אורח המשרתים בכוחות הביטחון.</w:t>
      </w:r>
    </w:p>
    <w:p w:rsidR="003846A8" w:rsidRDefault="003846A8" w:rsidP="003846A8">
      <w:pPr>
        <w:pStyle w:val="Ruller41"/>
        <w:rPr>
          <w:rFonts w:ascii="Century" w:hAnsi="Century"/>
          <w:rtl/>
        </w:rPr>
      </w:pPr>
    </w:p>
    <w:p w:rsidR="003846A8" w:rsidRDefault="003846A8" w:rsidP="00221A69">
      <w:pPr>
        <w:pStyle w:val="Ruller41"/>
        <w:rPr>
          <w:rFonts w:ascii="Century" w:hAnsi="Century"/>
          <w:rtl/>
        </w:rPr>
      </w:pPr>
      <w:r>
        <w:rPr>
          <w:rFonts w:ascii="Century" w:hAnsi="Century" w:hint="cs"/>
          <w:rtl/>
        </w:rPr>
        <w:t>3.</w:t>
      </w:r>
      <w:r>
        <w:rPr>
          <w:rFonts w:ascii="Century" w:hAnsi="Century"/>
          <w:rtl/>
        </w:rPr>
        <w:tab/>
      </w:r>
      <w:r>
        <w:rPr>
          <w:rFonts w:ascii="Century" w:hAnsi="Century" w:hint="cs"/>
          <w:rtl/>
        </w:rPr>
        <w:t xml:space="preserve">המפגע התגורר בדירה </w:t>
      </w:r>
      <w:r>
        <w:rPr>
          <w:rFonts w:ascii="Century" w:hAnsi="Century"/>
          <w:rtl/>
        </w:rPr>
        <w:t>–</w:t>
      </w:r>
      <w:r>
        <w:rPr>
          <w:rFonts w:ascii="Century" w:hAnsi="Century" w:hint="cs"/>
          <w:rtl/>
        </w:rPr>
        <w:t xml:space="preserve"> אשר </w:t>
      </w:r>
      <w:r w:rsidR="00221A69">
        <w:rPr>
          <w:rFonts w:ascii="Century" w:hAnsi="Century" w:hint="cs"/>
          <w:rtl/>
        </w:rPr>
        <w:t>נמצאת בקומה 1-</w:t>
      </w:r>
      <w:r>
        <w:rPr>
          <w:rFonts w:ascii="Century" w:hAnsi="Century" w:hint="cs"/>
          <w:rtl/>
        </w:rPr>
        <w:t xml:space="preserve"> של מבנה בן מספר קומות בכפר נעלין (להלן: </w:t>
      </w:r>
      <w:r>
        <w:rPr>
          <w:rFonts w:ascii="Century" w:hAnsi="Century" w:cs="Miriam" w:hint="cs"/>
          <w:b/>
          <w:spacing w:val="0"/>
          <w:szCs w:val="24"/>
          <w:rtl/>
        </w:rPr>
        <w:t>המבנה</w:t>
      </w:r>
      <w:r>
        <w:rPr>
          <w:rFonts w:ascii="Century" w:hAnsi="Century" w:hint="cs"/>
          <w:rtl/>
        </w:rPr>
        <w:t xml:space="preserve">) </w:t>
      </w:r>
      <w:r>
        <w:rPr>
          <w:rFonts w:ascii="Century" w:hAnsi="Century"/>
          <w:rtl/>
        </w:rPr>
        <w:t>–</w:t>
      </w:r>
      <w:r>
        <w:rPr>
          <w:rFonts w:ascii="Century" w:hAnsi="Century" w:hint="cs"/>
          <w:rtl/>
        </w:rPr>
        <w:t xml:space="preserve"> יחד עם אביו, אמו, אחיו בן ה-26 ואחותו בת ה-13. אקדים ואומר כי בעוד העותר, דודו של המפגע, טוען כי הדירה בבעלותו, בידי המשיב ראיות שלפיהן אביו של המפגע הוא בעל הדירה. לשלמות התמונה יצוין כי </w:t>
      </w:r>
      <w:r w:rsidR="00221A69">
        <w:rPr>
          <w:rFonts w:ascii="Century" w:hAnsi="Century" w:hint="cs"/>
          <w:rtl/>
        </w:rPr>
        <w:t>קומת הקרקע</w:t>
      </w:r>
      <w:r>
        <w:rPr>
          <w:rFonts w:ascii="Century" w:hAnsi="Century" w:hint="cs"/>
          <w:rtl/>
        </w:rPr>
        <w:t xml:space="preserve"> של המבנה היא בבעלות העותר, שמתגורר בה יחד עם אשתו ובנם; וכי לפי תגובת המשיב לעתירה, בשאר הקומות במבנה לא מתגוררים דיירים.</w:t>
      </w:r>
    </w:p>
    <w:p w:rsidR="003846A8" w:rsidRDefault="003846A8" w:rsidP="003846A8">
      <w:pPr>
        <w:pStyle w:val="Ruller41"/>
        <w:rPr>
          <w:rFonts w:ascii="Century" w:hAnsi="Century"/>
          <w:rtl/>
        </w:rPr>
      </w:pPr>
      <w:r>
        <w:rPr>
          <w:rFonts w:ascii="Century" w:hAnsi="Century"/>
          <w:rtl/>
        </w:rPr>
        <w:tab/>
      </w:r>
    </w:p>
    <w:p w:rsidR="003846A8" w:rsidRDefault="003846A8" w:rsidP="003846A8">
      <w:pPr>
        <w:pStyle w:val="Ruller41"/>
        <w:rPr>
          <w:rFonts w:ascii="Century" w:hAnsi="Century"/>
          <w:rtl/>
        </w:rPr>
      </w:pPr>
      <w:r>
        <w:rPr>
          <w:rFonts w:ascii="Century" w:hAnsi="Century" w:hint="cs"/>
          <w:rtl/>
        </w:rPr>
        <w:t>4.</w:t>
      </w:r>
      <w:r>
        <w:rPr>
          <w:rFonts w:ascii="Century" w:hAnsi="Century"/>
          <w:rtl/>
        </w:rPr>
        <w:tab/>
      </w:r>
      <w:r>
        <w:rPr>
          <w:rFonts w:ascii="Century" w:hAnsi="Century" w:hint="cs"/>
          <w:rtl/>
        </w:rPr>
        <w:t xml:space="preserve">ביום 30.3.2023 הודיע המשיב על כוונתו להחרים ולהרוס את הדירה מכוח תקנה 119, בשל הפיגוע שביצע המפגע (להלן: </w:t>
      </w:r>
      <w:r>
        <w:rPr>
          <w:rFonts w:ascii="Century" w:hAnsi="Century" w:cs="Miriam" w:hint="cs"/>
          <w:b/>
          <w:spacing w:val="0"/>
          <w:szCs w:val="24"/>
          <w:rtl/>
        </w:rPr>
        <w:t>ההודעה</w:t>
      </w:r>
      <w:r>
        <w:rPr>
          <w:rFonts w:ascii="Century" w:hAnsi="Century" w:hint="cs"/>
          <w:rtl/>
        </w:rPr>
        <w:t>). בהודעה פורטו נימוקי המשיב להפעלת התקנה במקרה הנדון, וניתנה אפשרות להגיש השגה בנושא עד יום 5.4.2023. כמו כן צורפה להודעה חוות-דעת הנדסית, שבה צוין, בין היתר, כי הריסת הדירה צפויה להתבצע באמצעות "חבלה חמה משולבת אמצעים מכאניים"; כי ההריסה היא רק של הדירה; כי קיימת היתכנות לנזק לשאר המבנה, אך יינקטו פעולות קפדניות מבחינת התכנון והביצוע על מנת שהסבירות לנזק והיקפו יהיו נמוכים; כי לא צפוי נזק למבנים סמוכים; וכי יינקטו פעולות לצורך מניעת פגיעה בתשתיות או בזגוגיות סמוכות.</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5.</w:t>
      </w:r>
      <w:r>
        <w:rPr>
          <w:rFonts w:ascii="Century" w:hAnsi="Century"/>
          <w:rtl/>
        </w:rPr>
        <w:tab/>
      </w:r>
      <w:r>
        <w:rPr>
          <w:rFonts w:ascii="Century" w:hAnsi="Century" w:hint="cs"/>
          <w:rtl/>
        </w:rPr>
        <w:t xml:space="preserve">ביום 3.4.2023 הגיש העותר למשיב השגה על ההודעה, וטען, בין היתר, כי ההודעה לא הומצאה כדין למשפחת המפגע; כי אין הסכמה לכך שהמפגע הוא זה שביצע את הפיגוע; וכי העותר הוא הבעלים היחיד של המבנה. עוד הועלו בהשגה טענות עקרוניות נגד השימוש בתקנה 119, ונטען כי לכל היותר, יש להסתפק באטימת חדר השינה של המפגע בדירה. ביום 21.4.2023 נדחתה השגת העותר במענה מטעם המשיב. במענה צוין, בין היתר, כי צו ההריסה לא ימומש בפועל עד יום 27.4.2023.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rtl/>
        </w:rPr>
        <w:tab/>
      </w:r>
      <w:r>
        <w:rPr>
          <w:rFonts w:ascii="Century" w:hAnsi="Century" w:hint="cs"/>
          <w:rtl/>
        </w:rPr>
        <w:t>מכאן העתירה שלפנינו, שהוגשה ביום 27.4.2023.</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cs="Miriam" w:hint="cs"/>
          <w:b/>
          <w:spacing w:val="0"/>
          <w:szCs w:val="24"/>
          <w:rtl/>
        </w:rPr>
        <w:t>תמצית טענות הצדדים</w:t>
      </w:r>
      <w:r>
        <w:rPr>
          <w:rFonts w:ascii="Century" w:hAnsi="Century" w:hint="cs"/>
          <w:rtl/>
        </w:rPr>
        <w:t xml:space="preserve">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6.</w:t>
      </w:r>
      <w:r>
        <w:rPr>
          <w:rFonts w:ascii="Century" w:hAnsi="Century" w:hint="cs"/>
          <w:rtl/>
        </w:rPr>
        <w:tab/>
        <w:t xml:space="preserve">העותר טוען כי הריסת הדירה מכוח תקנה 119 היא בבחינת ענישה קולקטיבית נגד חפים מפשע, שתסב סבל רב לעותר ולבני משפחתו הגרעינית של המפגע המתגוררים בדירה, וביניהם קטינה, אשר מעולם לא חשבו כי המפגע יבצע את המיוחס לו. עוד נטען, בין השאר, כי יש לפרש את תקנה 119 בצמצום, ברוח המשפט הבינלאומי וחוק-יסוד: </w:t>
      </w:r>
      <w:r>
        <w:rPr>
          <w:rFonts w:ascii="Century" w:hAnsi="Century" w:hint="cs"/>
          <w:rtl/>
        </w:rPr>
        <w:lastRenderedPageBreak/>
        <w:t>כבוד האדם וחירותו; כי הריסת בתי מגורים של משפחות מפגעים אינה מרתיעה מפגעים פוטנציאליים; וכי הגיעה העת לשינוי מדיניות בהקשר זה. עוד נטען, כי הדירה נמצאת בבעלות העותר, ולא בבעלות אביו של המפגע, כך שאין להפעיל בענייננו את תקנה 119; וכי לכל היותר, על מנת למזער את הפגיעה בבני משפחת המפגע, יש להסתפק באטימת חדר השינה של המפגע בדירה.</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7.</w:t>
      </w:r>
      <w:r>
        <w:rPr>
          <w:rFonts w:ascii="Century" w:hAnsi="Century"/>
          <w:rtl/>
        </w:rPr>
        <w:tab/>
      </w:r>
      <w:r>
        <w:rPr>
          <w:rFonts w:ascii="Century" w:hAnsi="Century" w:hint="cs"/>
          <w:rtl/>
        </w:rPr>
        <w:t xml:space="preserve">מנגד, לעמדת המשיב, יש לדחות את העתירה. המשיב מציין, כי טענותיו העקרוניות של העותר נגד השימוש בתקנה 119 נדונו ונדחו פעמים רבות בפסיקתו של בית משפט זה; ומדגיש, כי הפעלת תקנה 119 מבוססת על הערכה מקצועית של גורמי הביטחון, שלפיה שימוש בתקנה זו מרתיע מפגעים פוטנציאליים, וכי החרפת המצב הביטחוני בשנים האחרונות מחדדת את הצורך בהרתעה כאמור. המשיב מוסיף כי לפי המידע שבידיו, אביו של המפגע הוא בעל הדירה; כי גם אם הדירה בבעלות העותר, אין בכך כדי למנוע את השימוש בתקנה 119 במקרה דנן; וכי הסתפקות באטימת חדר השינה של המפגע תפגע בתכלית ההרתעתית של הצו. המשיב טוען כי הפעלת סמכותו מכוח תקנה 119 היא מידתית בנסיבות העניין, בין היתר בהינתן שהצו מתייחס אך ורק לדירה, ולנוכח הפעולות שיינקטו למזעור הנזק הבלתי רצוי שעלול להיגרם כתוצאה ממימוש הצו. </w:t>
      </w:r>
    </w:p>
    <w:p w:rsidR="003846A8" w:rsidRDefault="003846A8" w:rsidP="003846A8">
      <w:pPr>
        <w:pStyle w:val="Ruller41"/>
        <w:rPr>
          <w:rFonts w:ascii="Century" w:hAnsi="Century"/>
          <w:rtl/>
        </w:rPr>
      </w:pPr>
    </w:p>
    <w:p w:rsidR="003846A8" w:rsidRDefault="003846A8" w:rsidP="003846A8">
      <w:pPr>
        <w:pStyle w:val="Ruller41"/>
        <w:rPr>
          <w:rFonts w:ascii="Century" w:hAnsi="Century" w:cs="Miriam"/>
          <w:b/>
          <w:spacing w:val="0"/>
          <w:szCs w:val="24"/>
          <w:rtl/>
        </w:rPr>
      </w:pPr>
      <w:r>
        <w:rPr>
          <w:rFonts w:ascii="Century" w:hAnsi="Century" w:cs="Miriam" w:hint="cs"/>
          <w:b/>
          <w:spacing w:val="0"/>
          <w:szCs w:val="24"/>
          <w:rtl/>
        </w:rPr>
        <w:t>דיון והכרעה</w:t>
      </w:r>
    </w:p>
    <w:p w:rsidR="003846A8" w:rsidRDefault="003846A8" w:rsidP="003846A8">
      <w:pPr>
        <w:pStyle w:val="Ruller41"/>
        <w:rPr>
          <w:rFonts w:ascii="Century" w:hAnsi="Century" w:cs="Miriam"/>
          <w:b/>
          <w:spacing w:val="0"/>
          <w:szCs w:val="24"/>
          <w:rtl/>
        </w:rPr>
      </w:pPr>
    </w:p>
    <w:p w:rsidR="003846A8" w:rsidRDefault="003846A8" w:rsidP="003846A8">
      <w:pPr>
        <w:pStyle w:val="Ruller41"/>
        <w:rPr>
          <w:rFonts w:ascii="Century" w:hAnsi="Century"/>
          <w:rtl/>
        </w:rPr>
      </w:pPr>
      <w:r>
        <w:rPr>
          <w:rFonts w:ascii="Century" w:hAnsi="Century" w:hint="cs"/>
          <w:rtl/>
        </w:rPr>
        <w:t>8.</w:t>
      </w:r>
      <w:r>
        <w:rPr>
          <w:rFonts w:ascii="Century" w:hAnsi="Century" w:hint="cs"/>
          <w:rtl/>
        </w:rPr>
        <w:tab/>
        <w:t>לאחר שעיינתי בטענות הצדדים, הן בכתובים הן בדיון שהתקיים לפנינו ביום 4.5.2023, מסקנתי היא כי דין העתירה להידחות, וכך אציע לחברותיי כי נעשה.</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9.</w:t>
      </w:r>
      <w:r>
        <w:rPr>
          <w:rFonts w:ascii="Century" w:hAnsi="Century" w:hint="cs"/>
          <w:rtl/>
        </w:rPr>
        <w:tab/>
        <w:t xml:space="preserve">כמפורט לעיל, עיקר העתירה מבוסס על טענות עקרוניות הנוגעות לחוקיות השימוש בתקנה 119, שנדונו ונדחו בפסקי דין רבים של בית משפט זה (ראו, מני רבים: בג"ץ 8091/14 </w:t>
      </w:r>
      <w:r>
        <w:rPr>
          <w:rFonts w:ascii="Century" w:hAnsi="Century" w:cs="Miriam" w:hint="cs"/>
          <w:b/>
          <w:spacing w:val="0"/>
          <w:szCs w:val="24"/>
          <w:rtl/>
        </w:rPr>
        <w:t xml:space="preserve">המוקד להגנת הפרט נ' שר הביטחון </w:t>
      </w:r>
      <w:r>
        <w:rPr>
          <w:rFonts w:ascii="Century" w:hAnsi="Century" w:hint="cs"/>
          <w:rtl/>
        </w:rPr>
        <w:t xml:space="preserve">(31.12.2014); בג"ץ 7040/15 </w:t>
      </w:r>
      <w:proofErr w:type="spellStart"/>
      <w:r>
        <w:rPr>
          <w:rFonts w:ascii="Century" w:hAnsi="Century" w:cs="Miriam" w:hint="cs"/>
          <w:b/>
          <w:spacing w:val="0"/>
          <w:szCs w:val="24"/>
          <w:rtl/>
        </w:rPr>
        <w:t>חמאד</w:t>
      </w:r>
      <w:proofErr w:type="spellEnd"/>
      <w:r>
        <w:rPr>
          <w:rFonts w:ascii="Century" w:hAnsi="Century" w:cs="Miriam" w:hint="cs"/>
          <w:b/>
          <w:spacing w:val="0"/>
          <w:szCs w:val="24"/>
          <w:rtl/>
        </w:rPr>
        <w:t xml:space="preserve"> נ' המפקד הצבאי באזור הגדה המערבית </w:t>
      </w:r>
      <w:r>
        <w:rPr>
          <w:rFonts w:ascii="Century" w:hAnsi="Century" w:hint="cs"/>
          <w:rtl/>
        </w:rPr>
        <w:t xml:space="preserve">(12.11.2015)), וכבר נפסק לא אחת כי אין מקום לשוב ולהידרש אליהן בכל עתירה שעניינה שימוש בתקנה 119 (ראו, מני רבים: בג"ץ 9034/16 </w:t>
      </w:r>
      <w:r>
        <w:rPr>
          <w:rFonts w:ascii="Century" w:hAnsi="Century" w:cs="Miriam" w:hint="cs"/>
          <w:b/>
          <w:spacing w:val="0"/>
          <w:szCs w:val="24"/>
          <w:rtl/>
        </w:rPr>
        <w:t>אבו סביח נ' אלוף פיקוד העורף</w:t>
      </w:r>
      <w:r>
        <w:rPr>
          <w:rFonts w:ascii="Century" w:hAnsi="Century" w:hint="cs"/>
          <w:rtl/>
        </w:rPr>
        <w:t xml:space="preserve">, פס' 11 וההפניות שם (18.12.2016)). אעיר, כי העותר הפנה לעמדות שונות שהוצגו בקרב שופטי בית משפט זה, בכל הנוגע לחוקיות השימוש בתקנה 119; כשלעצמי, ראיתי להדגיש, פעם נוספת, את הצורך לפעול ולהכריע בענייננו על-פי ההלכה הפסוקה, כל עוד זו עומדת על כנה (וראו גם: בג"ץ 967/16 </w:t>
      </w:r>
      <w:r>
        <w:rPr>
          <w:rFonts w:ascii="Century" w:hAnsi="Century" w:cs="Miriam" w:hint="cs"/>
          <w:b/>
          <w:spacing w:val="0"/>
          <w:szCs w:val="24"/>
          <w:rtl/>
        </w:rPr>
        <w:t>חרוב נ' מפקד כוחות הצבא בגדה המערבית</w:t>
      </w:r>
      <w:r w:rsidRPr="00355B52">
        <w:rPr>
          <w:rFonts w:ascii="Century" w:hAnsi="Century" w:hint="cs"/>
          <w:rtl/>
        </w:rPr>
        <w:t>,</w:t>
      </w:r>
      <w:r>
        <w:rPr>
          <w:rFonts w:ascii="Century" w:hAnsi="Century" w:cs="Miriam" w:hint="cs"/>
          <w:b/>
          <w:spacing w:val="0"/>
          <w:szCs w:val="24"/>
          <w:rtl/>
        </w:rPr>
        <w:t xml:space="preserve"> </w:t>
      </w:r>
      <w:r w:rsidRPr="002227A5">
        <w:rPr>
          <w:rFonts w:ascii="Century" w:hAnsi="Century" w:hint="cs"/>
          <w:rtl/>
        </w:rPr>
        <w:t>פס' ז לפסק דינו של המשנה לנשיאה</w:t>
      </w:r>
      <w:r>
        <w:rPr>
          <w:rFonts w:ascii="Century" w:hAnsi="Century" w:cs="Miriam" w:hint="cs"/>
          <w:b/>
          <w:spacing w:val="0"/>
          <w:szCs w:val="24"/>
          <w:rtl/>
        </w:rPr>
        <w:t xml:space="preserve"> א' רובינשטיין</w:t>
      </w:r>
      <w:r>
        <w:rPr>
          <w:rFonts w:ascii="Century" w:hAnsi="Century" w:hint="cs"/>
          <w:rtl/>
        </w:rPr>
        <w:t xml:space="preserve"> (14.2.2016)). כפי שציינתי בהקשר אחר </w:t>
      </w:r>
      <w:r>
        <w:rPr>
          <w:rFonts w:ascii="Century" w:hAnsi="Century"/>
          <w:rtl/>
        </w:rPr>
        <w:t>–</w:t>
      </w:r>
      <w:r>
        <w:rPr>
          <w:rFonts w:ascii="Century" w:hAnsi="Century" w:hint="cs"/>
          <w:rtl/>
        </w:rPr>
        <w:t xml:space="preserve"> דברים שיפים גם לענייננו </w:t>
      </w:r>
      <w:r>
        <w:rPr>
          <w:rFonts w:ascii="Century" w:hAnsi="Century"/>
          <w:rtl/>
        </w:rPr>
        <w:t>–</w:t>
      </w:r>
      <w:r>
        <w:rPr>
          <w:rFonts w:ascii="Century" w:hAnsi="Century" w:hint="cs"/>
          <w:rtl/>
        </w:rPr>
        <w:t xml:space="preserve"> </w:t>
      </w:r>
      <w:r>
        <w:rPr>
          <w:rFonts w:hint="cs"/>
          <w:rtl/>
        </w:rPr>
        <w:t xml:space="preserve">"יש חשיבות </w:t>
      </w:r>
      <w:r>
        <w:rPr>
          <w:rFonts w:hint="cs"/>
          <w:rtl/>
        </w:rPr>
        <w:lastRenderedPageBreak/>
        <w:t>רבה לכך שבית משפט זה ידבר בקול אחד לאחר שנקבעה הלכה, לטובת שמירה על ודאות ועל יציבות ההלכה, לא כל שכן בסוגיות עקרוניות</w:t>
      </w:r>
      <w:r>
        <w:rPr>
          <w:rFonts w:ascii="Century" w:hAnsi="Century" w:hint="cs"/>
          <w:rtl/>
        </w:rPr>
        <w:t xml:space="preserve"> [...] פן נתנהל כ'בית שופטים', אשר מספר דעותיו כמספר חבריו" (ע"ב 6668/22 </w:t>
      </w:r>
      <w:r>
        <w:rPr>
          <w:rFonts w:ascii="Century" w:hAnsi="Century" w:cs="Miriam" w:hint="cs"/>
          <w:b/>
          <w:spacing w:val="0"/>
          <w:szCs w:val="24"/>
          <w:rtl/>
        </w:rPr>
        <w:t>בל"ד ברית לאומית דמוקרטית נ' ועדת הבחירות המרכזית לכנסת ה-25</w:t>
      </w:r>
      <w:r>
        <w:rPr>
          <w:rFonts w:ascii="Century" w:hAnsi="Century" w:hint="cs"/>
          <w:rtl/>
        </w:rPr>
        <w:t xml:space="preserve">, פס' 13 לחוות דעתי (9.10.2022); וראו גם בג"ץ 3030/23 </w:t>
      </w:r>
      <w:r>
        <w:rPr>
          <w:rFonts w:ascii="Century" w:hAnsi="Century" w:cs="Miriam" w:hint="cs"/>
          <w:b/>
          <w:spacing w:val="0"/>
          <w:szCs w:val="24"/>
          <w:rtl/>
        </w:rPr>
        <w:t>לוחמים לשלום נ' שר הביטחון</w:t>
      </w:r>
      <w:r>
        <w:rPr>
          <w:rFonts w:ascii="Century" w:hAnsi="Century" w:hint="cs"/>
          <w:rtl/>
        </w:rPr>
        <w:t>, פס' 5 לחוות דעתי (23.4.2023)).</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10.</w:t>
      </w:r>
      <w:r>
        <w:rPr>
          <w:rFonts w:ascii="Century" w:hAnsi="Century" w:hint="cs"/>
          <w:rtl/>
        </w:rPr>
        <w:tab/>
        <w:t xml:space="preserve">כידוע, תקנה 119 נועדה להרתיע מפגעים פוטנציאליים, והלכה היא כי תכלית זו של התקנה </w:t>
      </w:r>
      <w:r>
        <w:rPr>
          <w:rFonts w:ascii="Century" w:hAnsi="Century"/>
          <w:rtl/>
        </w:rPr>
        <w:t>–</w:t>
      </w:r>
      <w:r>
        <w:rPr>
          <w:rFonts w:ascii="Century" w:hAnsi="Century" w:hint="cs"/>
          <w:rtl/>
        </w:rPr>
        <w:t xml:space="preserve"> ראויה (ראו, מני רבים: בג"ץ 4597/14 </w:t>
      </w:r>
      <w:proofErr w:type="spellStart"/>
      <w:r>
        <w:rPr>
          <w:rFonts w:ascii="Century" w:hAnsi="Century" w:cs="Miriam" w:hint="cs"/>
          <w:b/>
          <w:spacing w:val="0"/>
          <w:szCs w:val="24"/>
          <w:rtl/>
        </w:rPr>
        <w:t>עואודה</w:t>
      </w:r>
      <w:proofErr w:type="spellEnd"/>
      <w:r w:rsidRPr="00206B46">
        <w:rPr>
          <w:rFonts w:ascii="Century" w:hAnsi="Century" w:cs="Miriam" w:hint="cs"/>
          <w:b/>
          <w:spacing w:val="0"/>
          <w:szCs w:val="24"/>
          <w:rtl/>
        </w:rPr>
        <w:t xml:space="preserve"> נ' </w:t>
      </w:r>
      <w:r>
        <w:rPr>
          <w:rFonts w:ascii="Century" w:hAnsi="Century" w:cs="Miriam" w:hint="cs"/>
          <w:b/>
          <w:spacing w:val="0"/>
          <w:szCs w:val="24"/>
          <w:rtl/>
        </w:rPr>
        <w:t>ה</w:t>
      </w:r>
      <w:r w:rsidRPr="00206B46">
        <w:rPr>
          <w:rFonts w:ascii="Century" w:hAnsi="Century" w:cs="Miriam" w:hint="cs"/>
          <w:b/>
          <w:spacing w:val="0"/>
          <w:szCs w:val="24"/>
          <w:rtl/>
        </w:rPr>
        <w:t xml:space="preserve">מפקד </w:t>
      </w:r>
      <w:r>
        <w:rPr>
          <w:rFonts w:ascii="Century" w:hAnsi="Century" w:cs="Miriam" w:hint="cs"/>
          <w:b/>
          <w:spacing w:val="0"/>
          <w:szCs w:val="24"/>
          <w:rtl/>
        </w:rPr>
        <w:t>הצבאי לאזור</w:t>
      </w:r>
      <w:r w:rsidRPr="00206B46">
        <w:rPr>
          <w:rFonts w:ascii="Century" w:hAnsi="Century" w:cs="Miriam" w:hint="cs"/>
          <w:b/>
          <w:spacing w:val="0"/>
          <w:szCs w:val="24"/>
          <w:rtl/>
        </w:rPr>
        <w:t xml:space="preserve"> </w:t>
      </w:r>
      <w:r>
        <w:rPr>
          <w:rFonts w:ascii="Century" w:hAnsi="Century" w:cs="Miriam" w:hint="cs"/>
          <w:b/>
          <w:spacing w:val="0"/>
          <w:szCs w:val="24"/>
          <w:rtl/>
        </w:rPr>
        <w:t>ה</w:t>
      </w:r>
      <w:r w:rsidRPr="00206B46">
        <w:rPr>
          <w:rFonts w:ascii="Century" w:hAnsi="Century" w:cs="Miriam" w:hint="cs"/>
          <w:b/>
          <w:spacing w:val="0"/>
          <w:szCs w:val="24"/>
          <w:rtl/>
        </w:rPr>
        <w:t>גדה המערבית</w:t>
      </w:r>
      <w:r>
        <w:rPr>
          <w:rFonts w:ascii="Century" w:hAnsi="Century" w:hint="cs"/>
          <w:rtl/>
        </w:rPr>
        <w:t xml:space="preserve">, פס' 19 (1.7.2014)). תקנה 119 לא נועדה אפוא להעניש את דיירי הבית המיועד להריסה. זאת, אף אם הפעלת התקנה כרוכה בפגיעה בזכויות הדיירים, ולעתים אף בהותרתם ללא קורת גג, אך בשל מעשה נפשע של בן </w:t>
      </w:r>
      <w:r w:rsidRPr="00DC55C6">
        <w:rPr>
          <w:rFonts w:ascii="Century" w:hAnsi="Century" w:hint="cs"/>
          <w:rtl/>
        </w:rPr>
        <w:t xml:space="preserve">משפחתם (ראו, </w:t>
      </w:r>
      <w:r>
        <w:rPr>
          <w:rFonts w:ascii="Century" w:hAnsi="Century" w:hint="cs"/>
          <w:rtl/>
        </w:rPr>
        <w:t>למשל</w:t>
      </w:r>
      <w:r w:rsidRPr="00DC55C6">
        <w:rPr>
          <w:rFonts w:ascii="Century" w:hAnsi="Century" w:hint="cs"/>
          <w:rtl/>
        </w:rPr>
        <w:t>: בג"</w:t>
      </w:r>
      <w:r>
        <w:rPr>
          <w:rFonts w:ascii="Century" w:hAnsi="Century" w:hint="cs"/>
          <w:rtl/>
        </w:rPr>
        <w:t xml:space="preserve">ץ 6905/18 </w:t>
      </w:r>
      <w:proofErr w:type="spellStart"/>
      <w:r>
        <w:rPr>
          <w:rFonts w:ascii="Century" w:hAnsi="Century" w:cs="Miriam" w:hint="cs"/>
          <w:b/>
          <w:spacing w:val="0"/>
          <w:szCs w:val="24"/>
          <w:rtl/>
        </w:rPr>
        <w:t>נאג'י</w:t>
      </w:r>
      <w:proofErr w:type="spellEnd"/>
      <w:r>
        <w:rPr>
          <w:rFonts w:ascii="Century" w:hAnsi="Century" w:cs="Miriam" w:hint="cs"/>
          <w:b/>
          <w:spacing w:val="0"/>
          <w:szCs w:val="24"/>
          <w:rtl/>
        </w:rPr>
        <w:t xml:space="preserve"> נ' המפקד הצבאי </w:t>
      </w:r>
      <w:proofErr w:type="spellStart"/>
      <w:r>
        <w:rPr>
          <w:rFonts w:ascii="Century" w:hAnsi="Century" w:cs="Miriam" w:hint="cs"/>
          <w:b/>
          <w:spacing w:val="0"/>
          <w:szCs w:val="24"/>
          <w:rtl/>
        </w:rPr>
        <w:t>לאיזור</w:t>
      </w:r>
      <w:proofErr w:type="spellEnd"/>
      <w:r>
        <w:rPr>
          <w:rFonts w:ascii="Century" w:hAnsi="Century" w:cs="Miriam" w:hint="cs"/>
          <w:b/>
          <w:spacing w:val="0"/>
          <w:szCs w:val="24"/>
          <w:rtl/>
        </w:rPr>
        <w:t xml:space="preserve"> הגדה המערבית</w:t>
      </w:r>
      <w:r>
        <w:rPr>
          <w:rFonts w:ascii="Century" w:hAnsi="Century" w:hint="cs"/>
          <w:rtl/>
        </w:rPr>
        <w:t xml:space="preserve">, פס' 21 (2.12.2018)). אכן, מדובר בתוצאה קשה, אלא שלמרבה הצער, בשנים האחרונות </w:t>
      </w:r>
      <w:r>
        <w:rPr>
          <w:rFonts w:ascii="Century" w:hAnsi="Century"/>
          <w:rtl/>
        </w:rPr>
        <w:t>–</w:t>
      </w:r>
      <w:r>
        <w:rPr>
          <w:rFonts w:ascii="Century" w:hAnsi="Century" w:hint="cs"/>
          <w:rtl/>
        </w:rPr>
        <w:t xml:space="preserve"> ואף בשבועות האחרונים </w:t>
      </w:r>
      <w:r>
        <w:rPr>
          <w:rFonts w:ascii="Century" w:hAnsi="Century"/>
          <w:rtl/>
        </w:rPr>
        <w:t>–</w:t>
      </w:r>
      <w:r>
        <w:rPr>
          <w:rFonts w:ascii="Century" w:hAnsi="Century" w:hint="cs"/>
          <w:rtl/>
        </w:rPr>
        <w:t xml:space="preserve"> מכים במדינת ישראל גלי טרור, באופן שמחייב יצירת הרתעה מפני ביצוע פיגועים נוספים. בנסיבות אלו, במצבים מסוימים אין מנוס מהפעלת תקנה 119 לשם הרתעת מפגעים פוטנציאליים (בג"ץ 564/22 </w:t>
      </w:r>
      <w:proofErr w:type="spellStart"/>
      <w:r w:rsidRPr="00206B46">
        <w:rPr>
          <w:rFonts w:ascii="Century" w:hAnsi="Century" w:cs="Miriam" w:hint="cs"/>
          <w:b/>
          <w:spacing w:val="0"/>
          <w:szCs w:val="24"/>
          <w:rtl/>
        </w:rPr>
        <w:t>ג'ראדאת</w:t>
      </w:r>
      <w:proofErr w:type="spellEnd"/>
      <w:r w:rsidRPr="00206B46">
        <w:rPr>
          <w:rFonts w:ascii="Century" w:hAnsi="Century" w:cs="Miriam" w:hint="cs"/>
          <w:b/>
          <w:spacing w:val="0"/>
          <w:szCs w:val="24"/>
          <w:rtl/>
        </w:rPr>
        <w:t xml:space="preserve"> נ' מפקד כוחות צה"ל בגדה המערבית</w:t>
      </w:r>
      <w:r>
        <w:rPr>
          <w:rFonts w:ascii="Century" w:hAnsi="Century" w:hint="cs"/>
          <w:rtl/>
        </w:rPr>
        <w:t xml:space="preserve">, פס' 16 (4.2.2022)), ואזכיר בהקשר זה את שציינתי בעניין </w:t>
      </w:r>
      <w:proofErr w:type="spellStart"/>
      <w:r>
        <w:rPr>
          <w:rFonts w:ascii="Century" w:hAnsi="Century" w:cs="Miriam" w:hint="cs"/>
          <w:b/>
          <w:spacing w:val="0"/>
          <w:szCs w:val="24"/>
          <w:rtl/>
        </w:rPr>
        <w:t>נאג'י</w:t>
      </w:r>
      <w:proofErr w:type="spellEnd"/>
      <w:r>
        <w:rPr>
          <w:rFonts w:ascii="Century" w:hAnsi="Century" w:hint="cs"/>
          <w:rtl/>
        </w:rPr>
        <w:t>:</w:t>
      </w:r>
    </w:p>
    <w:p w:rsidR="003846A8" w:rsidRDefault="003846A8" w:rsidP="003846A8">
      <w:pPr>
        <w:pStyle w:val="Ruller41"/>
        <w:rPr>
          <w:rFonts w:ascii="Century" w:hAnsi="Century"/>
          <w:rtl/>
        </w:rPr>
      </w:pPr>
    </w:p>
    <w:p w:rsidR="003846A8" w:rsidRDefault="003846A8" w:rsidP="003846A8">
      <w:pPr>
        <w:pStyle w:val="Ruller5"/>
        <w:rPr>
          <w:rFonts w:ascii="Century" w:hAnsi="Century"/>
          <w:rtl/>
        </w:rPr>
      </w:pPr>
      <w:r>
        <w:rPr>
          <w:rFonts w:hint="cs"/>
          <w:rtl/>
        </w:rPr>
        <w:t>"אמנם נכון הדבר כי ההגנה על זכויות אדם ואזרח היא מחובותיה הבסיסיות של מדינה דמוקרטית. ברם, באופן בסיסי אף יותר, נדרשת הדמוקרטיה להגן על קיומה של תשתית מדינית וביטחונית אשר תאפשר לאזרחיה ליהנות מזכויותיהם אלה. מכאן נובעת החשיבות שבשמירה על ביטחון המדינה, וזאת אף במחיר של פגיעה בזכויות אדם ואזרח</w:t>
      </w:r>
      <w:r>
        <w:rPr>
          <w:rFonts w:ascii="Century" w:hAnsi="Century" w:hint="cs"/>
          <w:rtl/>
        </w:rPr>
        <w:t xml:space="preserve"> [...] </w:t>
      </w:r>
      <w:r>
        <w:rPr>
          <w:rFonts w:hint="cs"/>
          <w:rtl/>
        </w:rPr>
        <w:t>יתר על כן, יובהר כי נקיטה באמצעים פוגעניים, הדרושים לשם שמירה על ביטחון המדינה, אינה משום 'פגיעה הכרחית' בדמוקרטיה, אלא היא-היא חלק בלתי נפרד מן השיטה הדמוקרטית, אשר נדרשת לעתים להגן על המשך קיומה</w:t>
      </w:r>
      <w:r>
        <w:rPr>
          <w:rFonts w:ascii="Century" w:hAnsi="Century" w:hint="cs"/>
          <w:rtl/>
        </w:rPr>
        <w:t>" (שם, פס' 22).</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11.</w:t>
      </w:r>
      <w:r>
        <w:rPr>
          <w:rFonts w:ascii="Century" w:hAnsi="Century"/>
          <w:rtl/>
        </w:rPr>
        <w:tab/>
      </w:r>
      <w:r>
        <w:rPr>
          <w:rFonts w:ascii="Century" w:hAnsi="Century" w:hint="cs"/>
          <w:rtl/>
        </w:rPr>
        <w:t xml:space="preserve">יחד עם זאת, יש להדגיש, כי התועלת ההרתעתית הגלומה בהפעלת תקנה 119 צריכה לשוב ולהיבחן באופן מתמיד בראי נתונים עדכניים (ראו, למשל: בג"ץ 1633/16 </w:t>
      </w:r>
      <w:r>
        <w:rPr>
          <w:rFonts w:ascii="Century" w:hAnsi="Century" w:cs="Miriam" w:hint="cs"/>
          <w:b/>
          <w:spacing w:val="0"/>
          <w:szCs w:val="24"/>
          <w:rtl/>
        </w:rPr>
        <w:t>פלונים נ' המפקד הצבאי באזור הגדה המערבית</w:t>
      </w:r>
      <w:r>
        <w:rPr>
          <w:rFonts w:ascii="Century" w:hAnsi="Century" w:hint="cs"/>
          <w:rtl/>
        </w:rPr>
        <w:t xml:space="preserve">, פס' 27 (31.5.2016)). </w:t>
      </w:r>
      <w:r w:rsidRPr="00BD0C23">
        <w:rPr>
          <w:rFonts w:ascii="Century" w:hAnsi="Century" w:hint="cs"/>
          <w:rtl/>
        </w:rPr>
        <w:t>לנוכח האמור, בדיון שהתקיים לפנינו עיינו, בהסכמת העותר ובמעמד צד אחד, בחוות דעת חסויה</w:t>
      </w:r>
      <w:r>
        <w:rPr>
          <w:rFonts w:ascii="Century" w:hAnsi="Century" w:hint="cs"/>
          <w:rtl/>
        </w:rPr>
        <w:t xml:space="preserve"> </w:t>
      </w:r>
      <w:r w:rsidRPr="00BD0C23">
        <w:rPr>
          <w:rFonts w:ascii="Century" w:hAnsi="Century" w:hint="cs"/>
          <w:rtl/>
        </w:rPr>
        <w:t>עדכנית מטעם המשיב, ו</w:t>
      </w:r>
      <w:r>
        <w:rPr>
          <w:rFonts w:ascii="Century" w:hAnsi="Century" w:hint="cs"/>
          <w:rtl/>
        </w:rPr>
        <w:t>שוכנעת</w:t>
      </w:r>
      <w:r w:rsidRPr="00BD0C23">
        <w:rPr>
          <w:rFonts w:ascii="Century" w:hAnsi="Century" w:hint="cs"/>
          <w:rtl/>
        </w:rPr>
        <w:t>י כי הנתונים המוצגים בה מלמדים כי</w:t>
      </w:r>
      <w:r>
        <w:rPr>
          <w:rFonts w:ascii="Century" w:hAnsi="Century" w:hint="cs"/>
          <w:rtl/>
        </w:rPr>
        <w:t xml:space="preserve"> אף כיום,</w:t>
      </w:r>
      <w:r w:rsidRPr="00BD0C23">
        <w:rPr>
          <w:rFonts w:ascii="Century" w:hAnsi="Century" w:hint="cs"/>
          <w:rtl/>
        </w:rPr>
        <w:t xml:space="preserve"> השימוש בתקנה 119 מוביל להרתעת מפגעים פוטנציאליים מפני הוצאה לפועל של כוונותיהם הזדוניות.</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12.</w:t>
      </w:r>
      <w:r>
        <w:rPr>
          <w:rFonts w:ascii="Century" w:hAnsi="Century"/>
          <w:rtl/>
        </w:rPr>
        <w:tab/>
      </w:r>
      <w:r>
        <w:rPr>
          <w:rFonts w:ascii="Century" w:hAnsi="Century" w:hint="cs"/>
          <w:rtl/>
        </w:rPr>
        <w:t xml:space="preserve">לצד כל האמור, הלכה היא כי על המפקד הצבאי להפעיל את תקנה 119 באופן סביר ומידתי, לנוכח מכלול נסיבות העניין, ובתוך כך עליו לשקול, בין היתר, את חומרת המעשים המיוחסים למפגע; את עצמת התשתית הראייתית נגדו; ואת מספר האנשים אשר צפויים להיפגע מהפעלת התקנה, ומאפייניהם (ראו, מני רבים: בג"ץ 5290/14 </w:t>
      </w:r>
      <w:proofErr w:type="spellStart"/>
      <w:r>
        <w:rPr>
          <w:rFonts w:ascii="Century" w:hAnsi="Century" w:cs="Miriam" w:hint="cs"/>
          <w:b/>
          <w:spacing w:val="0"/>
          <w:szCs w:val="24"/>
          <w:rtl/>
        </w:rPr>
        <w:t>קואסמה</w:t>
      </w:r>
      <w:proofErr w:type="spellEnd"/>
      <w:r>
        <w:rPr>
          <w:rFonts w:ascii="Century" w:hAnsi="Century" w:cs="Miriam" w:hint="cs"/>
          <w:b/>
          <w:spacing w:val="0"/>
          <w:szCs w:val="24"/>
          <w:rtl/>
        </w:rPr>
        <w:t xml:space="preserve"> נ' המפקד הצבאי </w:t>
      </w:r>
      <w:proofErr w:type="spellStart"/>
      <w:r>
        <w:rPr>
          <w:rFonts w:ascii="Century" w:hAnsi="Century" w:cs="Miriam" w:hint="cs"/>
          <w:b/>
          <w:spacing w:val="0"/>
          <w:szCs w:val="24"/>
          <w:rtl/>
        </w:rPr>
        <w:t>לאיזור</w:t>
      </w:r>
      <w:proofErr w:type="spellEnd"/>
      <w:r>
        <w:rPr>
          <w:rFonts w:ascii="Century" w:hAnsi="Century" w:cs="Miriam" w:hint="cs"/>
          <w:b/>
          <w:spacing w:val="0"/>
          <w:szCs w:val="24"/>
          <w:rtl/>
        </w:rPr>
        <w:t xml:space="preserve"> הגדה המערבית</w:t>
      </w:r>
      <w:r>
        <w:rPr>
          <w:rFonts w:ascii="Century" w:hAnsi="Century" w:hint="cs"/>
          <w:rtl/>
        </w:rPr>
        <w:t xml:space="preserve">, פס' 22 (11.8.2014); בג"ץ 6420/19 </w:t>
      </w:r>
      <w:proofErr w:type="spellStart"/>
      <w:r>
        <w:rPr>
          <w:rFonts w:ascii="Century" w:hAnsi="Century" w:cs="Miriam" w:hint="cs"/>
          <w:b/>
          <w:spacing w:val="0"/>
          <w:szCs w:val="24"/>
          <w:rtl/>
        </w:rPr>
        <w:t>אלעצאפרה</w:t>
      </w:r>
      <w:proofErr w:type="spellEnd"/>
      <w:r>
        <w:rPr>
          <w:rFonts w:ascii="Century" w:hAnsi="Century" w:cs="Miriam" w:hint="cs"/>
          <w:b/>
          <w:spacing w:val="0"/>
          <w:szCs w:val="24"/>
          <w:rtl/>
        </w:rPr>
        <w:t xml:space="preserve"> נ' המפקד הצבאי </w:t>
      </w:r>
      <w:proofErr w:type="spellStart"/>
      <w:r>
        <w:rPr>
          <w:rFonts w:ascii="Century" w:hAnsi="Century" w:cs="Miriam" w:hint="cs"/>
          <w:b/>
          <w:spacing w:val="0"/>
          <w:szCs w:val="24"/>
          <w:rtl/>
        </w:rPr>
        <w:t>לאיזור</w:t>
      </w:r>
      <w:proofErr w:type="spellEnd"/>
      <w:r>
        <w:rPr>
          <w:rFonts w:ascii="Century" w:hAnsi="Century" w:cs="Miriam" w:hint="cs"/>
          <w:b/>
          <w:spacing w:val="0"/>
          <w:szCs w:val="24"/>
          <w:rtl/>
        </w:rPr>
        <w:t xml:space="preserve"> הגדה המערבית</w:t>
      </w:r>
      <w:r>
        <w:rPr>
          <w:rFonts w:ascii="Century" w:hAnsi="Century" w:hint="cs"/>
          <w:rtl/>
        </w:rPr>
        <w:t xml:space="preserve">, פס' 10 (12.11.2019)).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13.</w:t>
      </w:r>
      <w:r>
        <w:rPr>
          <w:rFonts w:ascii="Century" w:hAnsi="Century"/>
          <w:rtl/>
        </w:rPr>
        <w:tab/>
      </w:r>
      <w:r>
        <w:rPr>
          <w:rFonts w:ascii="Century" w:hAnsi="Century" w:hint="cs"/>
          <w:rtl/>
        </w:rPr>
        <w:t xml:space="preserve">בענייננו, כפי שאבהיר להלן, מסקנתי היא כי הצו שהוציא המשיב ביחס לדירה הוא סביר ומידתי, וכי אין מקום להתערב בשיקול דעתו בהקשר זה.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14.</w:t>
      </w:r>
      <w:r>
        <w:rPr>
          <w:rFonts w:ascii="Century" w:hAnsi="Century"/>
          <w:rtl/>
        </w:rPr>
        <w:tab/>
      </w:r>
      <w:r>
        <w:rPr>
          <w:rFonts w:ascii="Century" w:hAnsi="Century" w:hint="cs"/>
          <w:rtl/>
        </w:rPr>
        <w:t xml:space="preserve">אין צורך להכביר מילים על חומרת מעשיו </w:t>
      </w:r>
      <w:r w:rsidRPr="00DF5136">
        <w:rPr>
          <w:rFonts w:ascii="Century" w:hAnsi="Century" w:hint="cs"/>
          <w:rtl/>
        </w:rPr>
        <w:t>הנפשעים</w:t>
      </w:r>
      <w:r>
        <w:rPr>
          <w:rFonts w:ascii="Century" w:hAnsi="Century" w:hint="cs"/>
          <w:rtl/>
        </w:rPr>
        <w:t xml:space="preserve"> של המפגע, שירה מטווח קצר ביותר באזרחים ישראלים, ולדאבון הלב, גרם למותו של המנוח בדמי ימיו ולפציעתם של שני אזרחים נוספים.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15.</w:t>
      </w:r>
      <w:r>
        <w:rPr>
          <w:rFonts w:ascii="Century" w:hAnsi="Century"/>
          <w:rtl/>
        </w:rPr>
        <w:tab/>
      </w:r>
      <w:r>
        <w:rPr>
          <w:rFonts w:ascii="Century" w:hAnsi="Century" w:hint="cs"/>
          <w:rtl/>
        </w:rPr>
        <w:t xml:space="preserve">בכל הנוגע לתשתית הראייתית נגד המפגע, בפסיקה נקבע כי די בקיומן של ראיות </w:t>
      </w:r>
      <w:proofErr w:type="spellStart"/>
      <w:r>
        <w:rPr>
          <w:rFonts w:ascii="Century" w:hAnsi="Century" w:hint="cs"/>
          <w:rtl/>
        </w:rPr>
        <w:t>מינהליות</w:t>
      </w:r>
      <w:proofErr w:type="spellEnd"/>
      <w:r>
        <w:rPr>
          <w:rFonts w:ascii="Century" w:hAnsi="Century" w:hint="cs"/>
          <w:rtl/>
        </w:rPr>
        <w:t xml:space="preserve"> לצורך הפעלת תקנה 119 (ראו, מני רבים: בג"ץ 2322/19 </w:t>
      </w:r>
      <w:proofErr w:type="spellStart"/>
      <w:r>
        <w:rPr>
          <w:rFonts w:ascii="Century" w:hAnsi="Century" w:cs="Miriam" w:hint="cs"/>
          <w:b/>
          <w:spacing w:val="0"/>
          <w:szCs w:val="24"/>
          <w:rtl/>
        </w:rPr>
        <w:t>רפאעיה</w:t>
      </w:r>
      <w:proofErr w:type="spellEnd"/>
      <w:r>
        <w:rPr>
          <w:rFonts w:ascii="Century" w:hAnsi="Century" w:cs="Miriam" w:hint="cs"/>
          <w:b/>
          <w:spacing w:val="0"/>
          <w:szCs w:val="24"/>
          <w:rtl/>
        </w:rPr>
        <w:t xml:space="preserve"> נ' המפקד הצבאי לאזור הגדה המערבית</w:t>
      </w:r>
      <w:r>
        <w:rPr>
          <w:rFonts w:ascii="Century" w:hAnsi="Century" w:hint="cs"/>
          <w:rtl/>
        </w:rPr>
        <w:t xml:space="preserve">, פס' 19 (11.4.2019)); ראיות אלו קיימות בענייננו, והעותר אף לא טען אחרת. </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16.</w:t>
      </w:r>
      <w:r>
        <w:rPr>
          <w:rFonts w:ascii="Century" w:hAnsi="Century"/>
          <w:rtl/>
        </w:rPr>
        <w:tab/>
      </w:r>
      <w:r>
        <w:rPr>
          <w:rFonts w:ascii="Century" w:hAnsi="Century" w:hint="cs"/>
          <w:rtl/>
        </w:rPr>
        <w:t xml:space="preserve">אכן, המשיב אינו טוען כי מי מבני משפחתו של המפגע היו מעורבים במעשיו הנפשעים, ומובן כי בנסיבות אלו, הריסת ביתם היא צעד קשה, לא כל שכן בהיות אחותו קטינה. ברם, הלכה מושרשת היא כי היעדר מעורבות של בני משפחת המפגע במעשיו, או הימצאות דיירים קטינים בבית המיועד להריסה, הם אמנם שיקולים רלוונטיים להחלטה אם להפעיל את תקנה 119, אך אין בהם, כשלעצמם, כדי לשלול שימוש בתקנה לצורך הגשמת תכליתה ההרתעתית (ראו, מני רבים: עניין </w:t>
      </w:r>
      <w:proofErr w:type="spellStart"/>
      <w:r>
        <w:rPr>
          <w:rFonts w:ascii="Century" w:hAnsi="Century" w:cs="Miriam" w:hint="cs"/>
          <w:b/>
          <w:spacing w:val="0"/>
          <w:szCs w:val="24"/>
          <w:rtl/>
        </w:rPr>
        <w:t>אלעצאפרה</w:t>
      </w:r>
      <w:proofErr w:type="spellEnd"/>
      <w:r>
        <w:rPr>
          <w:rFonts w:ascii="Century" w:hAnsi="Century" w:hint="cs"/>
          <w:rtl/>
        </w:rPr>
        <w:t>, פס' 14 וההפניות שם)).</w:t>
      </w:r>
      <w:r w:rsidRPr="006E18BF">
        <w:rPr>
          <w:rFonts w:ascii="Century" w:hAnsi="Century" w:hint="cs"/>
          <w:rtl/>
        </w:rPr>
        <w:t xml:space="preserve"> </w:t>
      </w:r>
      <w:r>
        <w:rPr>
          <w:rFonts w:ascii="Century" w:hAnsi="Century" w:hint="cs"/>
          <w:rtl/>
        </w:rPr>
        <w:t xml:space="preserve">בענייננו, אין בשיקול האמור כדי להטות את הכף לעבר קבלת העתירה. בהקשר זה אציין, כי אף אם אין לייחס לבני משפחתו של המפגע מודעות לכוונותיו או מעורבות בביצוע הפיגוע דנן, הרי שמתגובת המשיב לעתירה עולה כי אביו של המפגע הוא "פעיל חמאס בכיר, כלוא לשעבר", שאף "פרסם לאחר הפיגוע סרטון לאומני ובו תמיכה בטרור ובמעשי בנו"; כמו כן, גם המפגע היה מוכר עוד בטרם ביצוע הפיגוע הנדון כפעיל חמאס, ואף נכלא בעבר, בין היתר בשל מעורבות בפיגוע ירי לעבר כוח צבאי בשנת 2016, ולא נטען בעתירה כי מי מבני משפחתו נקט אמצעים כדי למנוע ממנו לשוב ולפעול בדרך </w:t>
      </w:r>
      <w:r>
        <w:rPr>
          <w:rFonts w:ascii="Century" w:hAnsi="Century" w:hint="cs"/>
          <w:rtl/>
        </w:rPr>
        <w:lastRenderedPageBreak/>
        <w:t xml:space="preserve">הטרור (ראו בהקשר זה: בג"ץ 2356/19 </w:t>
      </w:r>
      <w:r>
        <w:rPr>
          <w:rFonts w:ascii="Century" w:hAnsi="Century" w:cs="Miriam" w:hint="cs"/>
          <w:b/>
          <w:spacing w:val="0"/>
          <w:szCs w:val="24"/>
          <w:rtl/>
        </w:rPr>
        <w:t xml:space="preserve">ברגותי נ' המפקד הצבאי </w:t>
      </w:r>
      <w:proofErr w:type="spellStart"/>
      <w:r>
        <w:rPr>
          <w:rFonts w:ascii="Century" w:hAnsi="Century" w:cs="Miriam" w:hint="cs"/>
          <w:b/>
          <w:spacing w:val="0"/>
          <w:szCs w:val="24"/>
          <w:rtl/>
        </w:rPr>
        <w:t>לאיזור</w:t>
      </w:r>
      <w:proofErr w:type="spellEnd"/>
      <w:r>
        <w:rPr>
          <w:rFonts w:ascii="Century" w:hAnsi="Century" w:cs="Miriam" w:hint="cs"/>
          <w:b/>
          <w:spacing w:val="0"/>
          <w:szCs w:val="24"/>
          <w:rtl/>
        </w:rPr>
        <w:t xml:space="preserve"> הגדה המערבית</w:t>
      </w:r>
      <w:r>
        <w:rPr>
          <w:rFonts w:ascii="Century" w:hAnsi="Century" w:hint="cs"/>
          <w:rtl/>
        </w:rPr>
        <w:t>, פס' 15 (11.4.2019)).</w:t>
      </w:r>
    </w:p>
    <w:p w:rsidR="003846A8" w:rsidRDefault="003846A8" w:rsidP="003846A8">
      <w:pPr>
        <w:pStyle w:val="Ruller41"/>
        <w:rPr>
          <w:rFonts w:ascii="Century" w:hAnsi="Century"/>
          <w:rtl/>
        </w:rPr>
      </w:pPr>
    </w:p>
    <w:p w:rsidR="003846A8" w:rsidRPr="00820811" w:rsidRDefault="003846A8" w:rsidP="003846A8">
      <w:pPr>
        <w:pStyle w:val="Ruller41"/>
        <w:rPr>
          <w:rFonts w:ascii="Century" w:hAnsi="Century"/>
          <w:rtl/>
        </w:rPr>
      </w:pPr>
      <w:r>
        <w:rPr>
          <w:rFonts w:ascii="Century" w:hAnsi="Century" w:hint="cs"/>
          <w:rtl/>
        </w:rPr>
        <w:t>17.</w:t>
      </w:r>
      <w:r>
        <w:rPr>
          <w:rFonts w:ascii="Century" w:hAnsi="Century"/>
          <w:rtl/>
        </w:rPr>
        <w:tab/>
      </w:r>
      <w:r>
        <w:rPr>
          <w:rFonts w:ascii="Century" w:hAnsi="Century" w:hint="cs"/>
          <w:rtl/>
        </w:rPr>
        <w:t xml:space="preserve">כאמור, העותר טוען כי הדירה בבעלותו; כי הוא אך משכיר אותה לאביו של המפגע; וכי לפיכך אין להפעיל בענייננו את תקנה 119. דין הטענה להידחות. ראשית אציין, כי מהתחקורים שערכו גורמי המשיב לבני משפחתו הגרעינית של המפגע עלה שאביו של המפגע הוא בעל הדירה; אוסיף בהקשר זה כי עיינו </w:t>
      </w:r>
      <w:r>
        <w:rPr>
          <w:rFonts w:ascii="Century" w:hAnsi="Century"/>
          <w:rtl/>
        </w:rPr>
        <w:t>–</w:t>
      </w:r>
      <w:r>
        <w:rPr>
          <w:rFonts w:ascii="Century" w:hAnsi="Century" w:hint="cs"/>
          <w:rtl/>
        </w:rPr>
        <w:t xml:space="preserve"> במעמד צד אחד, בהסכמת העותר </w:t>
      </w:r>
      <w:r>
        <w:rPr>
          <w:rFonts w:ascii="Century" w:hAnsi="Century"/>
          <w:rtl/>
        </w:rPr>
        <w:t>–</w:t>
      </w:r>
      <w:r>
        <w:rPr>
          <w:rFonts w:ascii="Century" w:hAnsi="Century" w:hint="cs"/>
          <w:rtl/>
        </w:rPr>
        <w:t xml:space="preserve"> בחוות דעת חסויה מטעם המשיב, אשר תומכת במסקנה האמורה. כמו כן, וזה העיקר, אף אם אניח כי העותר הוא בעל הדירה, אין בכך כדי לשלול את השימוש בתקנה 119 בנסיבות ענייננו. אמנם, לפי הפסיקה,</w:t>
      </w:r>
      <w:r w:rsidRPr="00820811">
        <w:rPr>
          <w:rFonts w:ascii="Century" w:hAnsi="Century" w:hint="cs"/>
          <w:rtl/>
        </w:rPr>
        <w:t xml:space="preserve"> </w:t>
      </w:r>
      <w:r>
        <w:rPr>
          <w:rFonts w:ascii="Century" w:hAnsi="Century" w:hint="cs"/>
          <w:rtl/>
        </w:rPr>
        <w:t xml:space="preserve">העובדה שמדובר בבית שכור מצויה בגדר השיקולים שעל המפקד הצבאי לקחת בחשבון לצורך קבלת החלטה על הוצאת צו כבענייננו (ראו: בג"ץ 1629/16 </w:t>
      </w:r>
      <w:proofErr w:type="spellStart"/>
      <w:r>
        <w:rPr>
          <w:rFonts w:ascii="Century" w:hAnsi="Century" w:cs="Miriam" w:hint="cs"/>
          <w:b/>
          <w:spacing w:val="0"/>
          <w:szCs w:val="24"/>
          <w:rtl/>
        </w:rPr>
        <w:t>עאמר</w:t>
      </w:r>
      <w:proofErr w:type="spellEnd"/>
      <w:r>
        <w:rPr>
          <w:rFonts w:ascii="Century" w:hAnsi="Century" w:cs="Miriam" w:hint="cs"/>
          <w:b/>
          <w:spacing w:val="0"/>
          <w:szCs w:val="24"/>
          <w:rtl/>
        </w:rPr>
        <w:t xml:space="preserve"> נ' מפקד כוחות צה"ל </w:t>
      </w:r>
      <w:proofErr w:type="spellStart"/>
      <w:r>
        <w:rPr>
          <w:rFonts w:ascii="Century" w:hAnsi="Century" w:cs="Miriam" w:hint="cs"/>
          <w:b/>
          <w:spacing w:val="0"/>
          <w:szCs w:val="24"/>
          <w:rtl/>
        </w:rPr>
        <w:t>באיו"ש</w:t>
      </w:r>
      <w:proofErr w:type="spellEnd"/>
      <w:r>
        <w:rPr>
          <w:rFonts w:ascii="Century" w:hAnsi="Century" w:hint="cs"/>
          <w:rtl/>
        </w:rPr>
        <w:t xml:space="preserve">, פס' 25 (20.4.2016)). ברם, יש לזכור כי לפי לשון תקנה 119, לצורך נקיטת צעדים מכוחה, אין צורך בהוכחת זכויות </w:t>
      </w:r>
      <w:r w:rsidRPr="006606DB">
        <w:rPr>
          <w:rFonts w:ascii="Century" w:hAnsi="Century" w:cs="Miriam" w:hint="cs"/>
          <w:b/>
          <w:spacing w:val="0"/>
          <w:szCs w:val="24"/>
          <w:rtl/>
        </w:rPr>
        <w:t>בעלות</w:t>
      </w:r>
      <w:r>
        <w:rPr>
          <w:rFonts w:ascii="Century" w:hAnsi="Century" w:hint="cs"/>
          <w:rtl/>
        </w:rPr>
        <w:t xml:space="preserve"> של המפגע, או של מי מבני משפחתו הגרעינית, ביחס לבית מושא הצו; אלא יש להראות, כי המפגע הוא "תושב הבית", דרישה שהוכרה בפסיקה כ"</w:t>
      </w:r>
      <w:r w:rsidRPr="006606DB">
        <w:rPr>
          <w:rFonts w:ascii="Century" w:hAnsi="Century" w:cs="Miriam" w:hint="cs"/>
          <w:b/>
          <w:spacing w:val="0"/>
          <w:szCs w:val="24"/>
          <w:rtl/>
        </w:rPr>
        <w:t>זיקת מגורים</w:t>
      </w:r>
      <w:r>
        <w:rPr>
          <w:rFonts w:ascii="Century" w:hAnsi="Century" w:hint="cs"/>
          <w:rtl/>
        </w:rPr>
        <w:t xml:space="preserve">" (ראו, למשל: בג"ץ 8567/15 </w:t>
      </w:r>
      <w:r>
        <w:rPr>
          <w:rFonts w:ascii="Century" w:hAnsi="Century" w:cs="Miriam" w:hint="cs"/>
          <w:b/>
          <w:spacing w:val="0"/>
          <w:szCs w:val="24"/>
          <w:rtl/>
        </w:rPr>
        <w:t>חלבי נ' מפקד כוחות צה"ל בגדה המערבית</w:t>
      </w:r>
      <w:r>
        <w:rPr>
          <w:rFonts w:ascii="Century" w:hAnsi="Century" w:hint="cs"/>
          <w:rtl/>
        </w:rPr>
        <w:t xml:space="preserve">, פס' ט' (28.12.2015)). בענייננו, במכלול נסיבות העניין, לרבות העובדה כי טענת העותר היא שהדירה מושכרת לאחיו, אבי המפגע, אין בטענה כי מדובר בדירה שכורה כדי להטות את הכף לעבר קבלת העתירה (וראו עניין </w:t>
      </w:r>
      <w:proofErr w:type="spellStart"/>
      <w:r>
        <w:rPr>
          <w:rFonts w:ascii="Century" w:hAnsi="Century" w:cs="Miriam" w:hint="cs"/>
          <w:b/>
          <w:spacing w:val="0"/>
          <w:szCs w:val="24"/>
          <w:rtl/>
        </w:rPr>
        <w:t>עאמר</w:t>
      </w:r>
      <w:proofErr w:type="spellEnd"/>
      <w:r>
        <w:rPr>
          <w:rFonts w:ascii="Century" w:hAnsi="Century" w:hint="cs"/>
          <w:rtl/>
        </w:rPr>
        <w:t>, שם).</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18.</w:t>
      </w:r>
      <w:r>
        <w:rPr>
          <w:rFonts w:ascii="Century" w:hAnsi="Century"/>
          <w:rtl/>
        </w:rPr>
        <w:tab/>
      </w:r>
      <w:r>
        <w:rPr>
          <w:rFonts w:ascii="Century" w:hAnsi="Century" w:hint="cs"/>
          <w:rtl/>
        </w:rPr>
        <w:t xml:space="preserve">עוד יודגש כי כמובהר לעיל, הצו נוגע אך ורק לדירה שבה התגורר המפגע, ולא לשאר חלקי המבנה, ואף במובן זה אין מקום לומר כי הצו אינו מידתי. אמנם, בעתירה נטען כי לצורך עמידה בדרישת המידתיות יש להסתפק באיטום חדר השינה של המפגע, חלף הריסת הדירה כולה. ברם, אין חולק כי הדירה היא יחידת מגורים אחת ששימשה את כל הדיירים, המפגע ובני משפחתו; והמשיב טוען, כי צמצום הצו לכדי אטימת חדר השינה של המפגע בלבד יפגע בהגשמת תכליתו ההרתעתית. עמדה זו של המשיב מקובלת עליי, ולנוכח כל האמור לא מצאתי פגם ביחס להיקף הצו (ראו גם, בהקשר זה: בג"ץ 1376/23 </w:t>
      </w:r>
      <w:proofErr w:type="spellStart"/>
      <w:r>
        <w:rPr>
          <w:rFonts w:ascii="Century" w:hAnsi="Century" w:cs="Miriam" w:hint="cs"/>
          <w:b/>
          <w:spacing w:val="0"/>
          <w:szCs w:val="24"/>
          <w:rtl/>
        </w:rPr>
        <w:t>הילאן</w:t>
      </w:r>
      <w:proofErr w:type="spellEnd"/>
      <w:r>
        <w:rPr>
          <w:rFonts w:ascii="Century" w:hAnsi="Century" w:cs="Miriam" w:hint="cs"/>
          <w:b/>
          <w:spacing w:val="0"/>
          <w:szCs w:val="24"/>
          <w:rtl/>
        </w:rPr>
        <w:t xml:space="preserve"> נ' המפקד הצבאי לאזור הגדה המערבית</w:t>
      </w:r>
      <w:r>
        <w:rPr>
          <w:rFonts w:ascii="Century" w:hAnsi="Century" w:hint="cs"/>
          <w:rtl/>
        </w:rPr>
        <w:t xml:space="preserve">, פס' 19 (13.3.2023); בג"ץ 2036/23 </w:t>
      </w:r>
      <w:proofErr w:type="spellStart"/>
      <w:r>
        <w:rPr>
          <w:rFonts w:ascii="Century" w:hAnsi="Century" w:cs="Miriam" w:hint="cs"/>
          <w:b/>
          <w:spacing w:val="0"/>
          <w:szCs w:val="24"/>
          <w:rtl/>
        </w:rPr>
        <w:t>פרוך</w:t>
      </w:r>
      <w:proofErr w:type="spellEnd"/>
      <w:r>
        <w:rPr>
          <w:rFonts w:ascii="Century" w:hAnsi="Century" w:cs="Miriam" w:hint="cs"/>
          <w:b/>
          <w:spacing w:val="0"/>
          <w:szCs w:val="24"/>
          <w:rtl/>
        </w:rPr>
        <w:t xml:space="preserve"> נ' המפקד הצבאי לאזור הגדה המערבית</w:t>
      </w:r>
      <w:r>
        <w:rPr>
          <w:rFonts w:ascii="Century" w:hAnsi="Century" w:hint="cs"/>
          <w:rtl/>
        </w:rPr>
        <w:t xml:space="preserve">, פס' 8 לפסק דינו של השופט </w:t>
      </w:r>
      <w:r>
        <w:rPr>
          <w:rFonts w:ascii="Century" w:hAnsi="Century" w:cs="Miriam" w:hint="cs"/>
          <w:b/>
          <w:spacing w:val="0"/>
          <w:szCs w:val="24"/>
          <w:rtl/>
        </w:rPr>
        <w:t xml:space="preserve">י' עמית </w:t>
      </w:r>
      <w:r>
        <w:rPr>
          <w:rFonts w:ascii="Century" w:hAnsi="Century" w:hint="cs"/>
          <w:rtl/>
        </w:rPr>
        <w:t xml:space="preserve">(10.4.2023)); בג"ץ 3401/22 </w:t>
      </w:r>
      <w:proofErr w:type="spellStart"/>
      <w:r>
        <w:rPr>
          <w:rFonts w:ascii="Century" w:hAnsi="Century" w:cs="Miriam" w:hint="cs"/>
          <w:b/>
          <w:spacing w:val="0"/>
          <w:szCs w:val="24"/>
          <w:rtl/>
        </w:rPr>
        <w:t>עאצי</w:t>
      </w:r>
      <w:proofErr w:type="spellEnd"/>
      <w:r>
        <w:rPr>
          <w:rFonts w:ascii="Century" w:hAnsi="Century" w:cs="Miriam" w:hint="cs"/>
          <w:b/>
          <w:spacing w:val="0"/>
          <w:szCs w:val="24"/>
          <w:rtl/>
        </w:rPr>
        <w:t xml:space="preserve"> נ' אלוף פיקוד מרכז</w:t>
      </w:r>
      <w:r>
        <w:rPr>
          <w:rFonts w:ascii="Century" w:hAnsi="Century" w:hint="cs"/>
          <w:rtl/>
        </w:rPr>
        <w:t>, פס' 14 (8.6.2022)).</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19.</w:t>
      </w:r>
      <w:r>
        <w:rPr>
          <w:rFonts w:ascii="Century" w:hAnsi="Century"/>
          <w:rtl/>
        </w:rPr>
        <w:tab/>
      </w:r>
      <w:r>
        <w:rPr>
          <w:rFonts w:ascii="Century" w:hAnsi="Century" w:hint="cs"/>
          <w:rtl/>
        </w:rPr>
        <w:t xml:space="preserve">לסיכום, בהינתן, בין היתר, חומרת מעשיו של המפגע ותוצאתם הקשה והקטלנית; התשתית הראייתית נגד המפגע; זיקתו המובהקת לדירה; תחימת הצו לדירה בלבד, תוך נקיטת צעדים למזעור הנזק לשאר המבנה, למבנים סמוכים </w:t>
      </w:r>
      <w:r w:rsidRPr="008B7C62">
        <w:rPr>
          <w:rFonts w:ascii="Century" w:hAnsi="Century" w:hint="cs"/>
          <w:rtl/>
        </w:rPr>
        <w:t>ולתשתיות</w:t>
      </w:r>
      <w:r>
        <w:rPr>
          <w:rFonts w:ascii="Century" w:hAnsi="Century" w:hint="cs"/>
          <w:rtl/>
        </w:rPr>
        <w:t xml:space="preserve">; </w:t>
      </w:r>
      <w:r>
        <w:rPr>
          <w:rFonts w:ascii="Century" w:hAnsi="Century" w:hint="cs"/>
          <w:rtl/>
        </w:rPr>
        <w:lastRenderedPageBreak/>
        <w:t xml:space="preserve">והנתונים העדכניים המלמדים על אפקטיביות ההרתעה הטמונה בהפעלת הסמכות מכוח תקנה 119 </w:t>
      </w:r>
      <w:r>
        <w:rPr>
          <w:rFonts w:ascii="Century" w:hAnsi="Century"/>
          <w:rtl/>
        </w:rPr>
        <w:t>–</w:t>
      </w:r>
      <w:r>
        <w:rPr>
          <w:rFonts w:ascii="Century" w:hAnsi="Century" w:hint="cs"/>
          <w:rtl/>
        </w:rPr>
        <w:t xml:space="preserve"> מסקנתי היא כי הצו שהוצא ביחס לדירה עומד בדרישת המידתיות, ונחוץ להרתעת מפגעים פוטנציאליים. כמבואר לעיל, אין בטענה כי העותר הוא בעל הדירה, וכי בני משפחת המפגע לא היו מודעים למעשיו; או בהצעה להסתפק באטימת חדר השינה של המפגע, כדי לגרוע ממסקנתי האמורה.</w:t>
      </w:r>
    </w:p>
    <w:p w:rsidR="003846A8" w:rsidRDefault="003846A8" w:rsidP="003846A8">
      <w:pPr>
        <w:pStyle w:val="Ruller41"/>
        <w:rPr>
          <w:rFonts w:ascii="Century" w:hAnsi="Century"/>
          <w:rtl/>
        </w:rPr>
      </w:pPr>
    </w:p>
    <w:p w:rsidR="003846A8" w:rsidRDefault="003846A8" w:rsidP="003846A8">
      <w:pPr>
        <w:pStyle w:val="Ruller41"/>
        <w:rPr>
          <w:rtl/>
        </w:rPr>
      </w:pPr>
      <w:r>
        <w:rPr>
          <w:rFonts w:ascii="Century" w:hAnsi="Century" w:hint="cs"/>
          <w:rtl/>
        </w:rPr>
        <w:t>20.</w:t>
      </w:r>
      <w:r>
        <w:rPr>
          <w:rFonts w:ascii="Century" w:hAnsi="Century" w:hint="cs"/>
          <w:rtl/>
        </w:rPr>
        <w:tab/>
        <w:t>לנוכח כל האמור לעיל, אציע לחברותיי כי נדחה את העתירה.</w:t>
      </w:r>
    </w:p>
    <w:p w:rsidR="003846A8" w:rsidRDefault="003846A8" w:rsidP="003846A8">
      <w:pPr>
        <w:pStyle w:val="Ruller41"/>
        <w:rPr>
          <w:rFonts w:ascii="Century" w:hAnsi="Century"/>
          <w:rtl/>
        </w:rPr>
      </w:pPr>
    </w:p>
    <w:p w:rsidR="003846A8" w:rsidRDefault="003846A8" w:rsidP="003846A8">
      <w:pPr>
        <w:pStyle w:val="Ruller41"/>
        <w:rPr>
          <w:rFonts w:ascii="Century" w:hAnsi="Century"/>
          <w:rtl/>
        </w:rPr>
      </w:pPr>
      <w:r>
        <w:rPr>
          <w:rFonts w:ascii="Century" w:hAnsi="Century" w:hint="cs"/>
          <w:rtl/>
        </w:rPr>
        <w:t>21.</w:t>
      </w:r>
      <w:r>
        <w:rPr>
          <w:rFonts w:ascii="Century" w:hAnsi="Century"/>
          <w:rtl/>
        </w:rPr>
        <w:tab/>
      </w:r>
      <w:r>
        <w:rPr>
          <w:rFonts w:ascii="Century" w:hAnsi="Century" w:hint="cs"/>
          <w:rtl/>
        </w:rPr>
        <w:t>לסיום, אבקש להביע את תנחומיי הכנים למשפחתו של המנוח, אור אשכר ז"ל, שאיבדו את היקר להם מכל.</w:t>
      </w:r>
    </w:p>
    <w:p w:rsidR="00AD2F60" w:rsidRDefault="00AD2F60" w:rsidP="003846A8">
      <w:pPr>
        <w:pStyle w:val="Ruller41"/>
        <w:rPr>
          <w:rFonts w:ascii="Century" w:hAnsi="Century"/>
          <w:rtl/>
        </w:rPr>
      </w:pPr>
    </w:p>
    <w:p w:rsidR="00AD2F60" w:rsidRDefault="00AD2F60" w:rsidP="003846A8">
      <w:pPr>
        <w:pStyle w:val="Ruller41"/>
        <w:rPr>
          <w:rFonts w:ascii="Century" w:hAnsi="Century"/>
          <w:rtl/>
        </w:rPr>
      </w:pP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rtl/>
        </w:rPr>
        <w:tab/>
      </w:r>
      <w:r>
        <w:rPr>
          <w:rFonts w:ascii="Century" w:hAnsi="Century" w:hint="cs"/>
          <w:rtl/>
        </w:rPr>
        <w:t xml:space="preserve">ש ו פ ט ת </w:t>
      </w:r>
    </w:p>
    <w:p w:rsidR="00AD2F60" w:rsidRDefault="00AD2F60" w:rsidP="003846A8">
      <w:pPr>
        <w:pStyle w:val="Ruller41"/>
        <w:rPr>
          <w:rFonts w:ascii="Century" w:hAnsi="Century"/>
          <w:rtl/>
        </w:rPr>
      </w:pPr>
    </w:p>
    <w:p w:rsidR="00AD2F60" w:rsidRDefault="00AD2F60" w:rsidP="003846A8">
      <w:pPr>
        <w:pStyle w:val="Ruller41"/>
        <w:rPr>
          <w:rFonts w:ascii="Century" w:hAnsi="Century"/>
          <w:rtl/>
        </w:rPr>
      </w:pPr>
    </w:p>
    <w:p w:rsidR="00AD2F60" w:rsidRDefault="00AD2F60" w:rsidP="003846A8">
      <w:pPr>
        <w:pStyle w:val="Ruller41"/>
        <w:rPr>
          <w:rFonts w:ascii="Century" w:hAnsi="Century" w:cs="Miriam"/>
          <w:b/>
          <w:spacing w:val="0"/>
          <w:szCs w:val="24"/>
          <w:u w:val="single"/>
          <w:rtl/>
        </w:rPr>
      </w:pPr>
      <w:r w:rsidRPr="00AD2F60">
        <w:rPr>
          <w:rFonts w:ascii="Century" w:hAnsi="Century" w:cs="Miriam" w:hint="cs"/>
          <w:b/>
          <w:spacing w:val="0"/>
          <w:szCs w:val="24"/>
          <w:u w:val="single"/>
          <w:rtl/>
        </w:rPr>
        <w:t>השופטת ג' כנפי-שטייניץ:</w:t>
      </w:r>
    </w:p>
    <w:p w:rsidR="00AD2F60" w:rsidRDefault="00AD2F60" w:rsidP="003846A8">
      <w:pPr>
        <w:pStyle w:val="Ruller41"/>
        <w:rPr>
          <w:rFonts w:ascii="Century" w:hAnsi="Century" w:cs="Miriam"/>
          <w:b/>
          <w:spacing w:val="0"/>
          <w:szCs w:val="24"/>
          <w:u w:val="single"/>
          <w:rtl/>
        </w:rPr>
      </w:pPr>
    </w:p>
    <w:p w:rsidR="00AD2F60" w:rsidRDefault="00AD2F60" w:rsidP="00AD2F60">
      <w:pPr>
        <w:pStyle w:val="Ruller41"/>
        <w:rPr>
          <w:rtl/>
        </w:rPr>
      </w:pPr>
      <w:r>
        <w:rPr>
          <w:rtl/>
        </w:rPr>
        <w:tab/>
      </w:r>
      <w:r>
        <w:rPr>
          <w:rFonts w:hint="cs"/>
          <w:rtl/>
        </w:rPr>
        <w:t xml:space="preserve">אני מסכימה. </w:t>
      </w:r>
    </w:p>
    <w:p w:rsidR="00AD2F60" w:rsidRDefault="00AD2F60" w:rsidP="00AD2F60">
      <w:pPr>
        <w:pStyle w:val="Ruller41"/>
        <w:rPr>
          <w:rtl/>
        </w:rPr>
      </w:pPr>
    </w:p>
    <w:p w:rsidR="00AD2F60" w:rsidRDefault="00AD2F60" w:rsidP="00AD2F60">
      <w:pPr>
        <w:pStyle w:val="Ruller41"/>
        <w:rPr>
          <w:rtl/>
        </w:rPr>
      </w:pPr>
      <w:r>
        <w:rPr>
          <w:rtl/>
        </w:rPr>
        <w:tab/>
      </w:r>
      <w:r>
        <w:rPr>
          <w:rtl/>
        </w:rPr>
        <w:tab/>
      </w:r>
      <w:r>
        <w:rPr>
          <w:rtl/>
        </w:rPr>
        <w:tab/>
      </w:r>
      <w:r>
        <w:rPr>
          <w:rtl/>
        </w:rPr>
        <w:tab/>
      </w:r>
      <w:r>
        <w:rPr>
          <w:rtl/>
        </w:rPr>
        <w:tab/>
      </w:r>
      <w:r>
        <w:rPr>
          <w:rtl/>
        </w:rPr>
        <w:tab/>
      </w:r>
      <w:r>
        <w:rPr>
          <w:rtl/>
        </w:rPr>
        <w:tab/>
      </w:r>
      <w:r>
        <w:rPr>
          <w:rtl/>
        </w:rPr>
        <w:tab/>
      </w:r>
      <w:r>
        <w:rPr>
          <w:rtl/>
        </w:rPr>
        <w:tab/>
      </w:r>
      <w:r>
        <w:rPr>
          <w:rtl/>
        </w:rPr>
        <w:tab/>
      </w:r>
      <w:r>
        <w:rPr>
          <w:rFonts w:hint="cs"/>
          <w:rtl/>
        </w:rPr>
        <w:t xml:space="preserve">ש ו פ ט ת </w:t>
      </w:r>
    </w:p>
    <w:p w:rsidR="00AD2F60" w:rsidRDefault="00AD2F60" w:rsidP="00AD2F60">
      <w:pPr>
        <w:pStyle w:val="Ruller41"/>
        <w:rPr>
          <w:rtl/>
        </w:rPr>
      </w:pPr>
    </w:p>
    <w:p w:rsidR="00AD2F60" w:rsidRPr="00AD2F60" w:rsidRDefault="00AD2F60" w:rsidP="00AD2F60">
      <w:pPr>
        <w:pStyle w:val="Ruller41"/>
        <w:rPr>
          <w:rFonts w:ascii="Century" w:hAnsi="Century" w:cs="Miriam"/>
          <w:b/>
          <w:spacing w:val="0"/>
          <w:szCs w:val="24"/>
          <w:u w:val="single"/>
          <w:rtl/>
        </w:rPr>
      </w:pPr>
      <w:r w:rsidRPr="00AD2F60">
        <w:rPr>
          <w:rFonts w:ascii="Century" w:hAnsi="Century" w:cs="Miriam" w:hint="cs"/>
          <w:b/>
          <w:spacing w:val="0"/>
          <w:szCs w:val="24"/>
          <w:u w:val="single"/>
          <w:rtl/>
        </w:rPr>
        <w:t>השופטת ר' רונן:</w:t>
      </w:r>
    </w:p>
    <w:p w:rsidR="00AD2F60" w:rsidRDefault="00AD2F60" w:rsidP="00AD2F60">
      <w:pPr>
        <w:pStyle w:val="Ruller41"/>
        <w:rPr>
          <w:rtl/>
        </w:rPr>
      </w:pPr>
    </w:p>
    <w:p w:rsidR="00AD2F60" w:rsidRDefault="00AD2F60" w:rsidP="00AD2F60">
      <w:pPr>
        <w:pStyle w:val="Ruller4"/>
        <w:rPr>
          <w:rtl/>
        </w:rPr>
      </w:pPr>
      <w:r>
        <w:rPr>
          <w:rFonts w:hint="cs"/>
          <w:rtl/>
        </w:rPr>
        <w:t xml:space="preserve">כפי שתיארה חברתי השופטת </w:t>
      </w:r>
      <w:r>
        <w:rPr>
          <w:rFonts w:ascii="Century" w:hAnsi="Century" w:cs="Miriam" w:hint="cs"/>
          <w:b/>
          <w:spacing w:val="0"/>
          <w:sz w:val="22"/>
          <w:szCs w:val="24"/>
          <w:rtl/>
        </w:rPr>
        <w:t xml:space="preserve">י' </w:t>
      </w:r>
      <w:proofErr w:type="spellStart"/>
      <w:r w:rsidRPr="00A233BF">
        <w:rPr>
          <w:rFonts w:ascii="Century" w:hAnsi="Century" w:cs="Miriam" w:hint="cs"/>
          <w:b/>
          <w:spacing w:val="0"/>
          <w:sz w:val="22"/>
          <w:szCs w:val="24"/>
          <w:rtl/>
        </w:rPr>
        <w:t>וילנר</w:t>
      </w:r>
      <w:proofErr w:type="spellEnd"/>
      <w:r>
        <w:rPr>
          <w:rFonts w:hint="cs"/>
          <w:rtl/>
        </w:rPr>
        <w:t xml:space="preserve"> בפסק דינה, עניינה של העתירה הנוכחית הוא בכוונת המשיב (להלן גם: </w:t>
      </w:r>
      <w:r w:rsidRPr="00A233BF">
        <w:rPr>
          <w:rFonts w:ascii="Century" w:hAnsi="Century" w:cs="Miriam" w:hint="cs"/>
          <w:b/>
          <w:spacing w:val="0"/>
          <w:sz w:val="22"/>
          <w:szCs w:val="24"/>
          <w:rtl/>
        </w:rPr>
        <w:t>המדינה</w:t>
      </w:r>
      <w:r>
        <w:rPr>
          <w:rFonts w:hint="cs"/>
          <w:rtl/>
        </w:rPr>
        <w:t xml:space="preserve">) להרוס דירה בה התגורר מחבל, וזאת מכוח סמכותו לפי תקנה 119 לתקנות ההגנה (שעת-חירום), 1945 (להלן: </w:t>
      </w:r>
      <w:r w:rsidRPr="009672A2">
        <w:rPr>
          <w:rFonts w:ascii="Century" w:hAnsi="Century" w:cs="Miriam" w:hint="eastAsia"/>
          <w:b/>
          <w:spacing w:val="0"/>
          <w:szCs w:val="24"/>
          <w:rtl/>
        </w:rPr>
        <w:t>תקנה</w:t>
      </w:r>
      <w:r w:rsidRPr="009672A2">
        <w:rPr>
          <w:rFonts w:ascii="Century" w:hAnsi="Century" w:cs="Miriam"/>
          <w:b/>
          <w:spacing w:val="0"/>
          <w:szCs w:val="24"/>
          <w:rtl/>
        </w:rPr>
        <w:t xml:space="preserve"> 119</w:t>
      </w:r>
      <w:r>
        <w:rPr>
          <w:rFonts w:hint="cs"/>
          <w:rtl/>
        </w:rPr>
        <w:t xml:space="preserve"> או </w:t>
      </w:r>
      <w:r w:rsidRPr="0021726B">
        <w:rPr>
          <w:rFonts w:ascii="Century" w:hAnsi="Century" w:cs="Miriam" w:hint="eastAsia"/>
          <w:b/>
          <w:spacing w:val="0"/>
          <w:sz w:val="22"/>
          <w:szCs w:val="24"/>
          <w:rtl/>
        </w:rPr>
        <w:t>התקנה</w:t>
      </w:r>
      <w:r>
        <w:rPr>
          <w:rFonts w:hint="cs"/>
          <w:rtl/>
        </w:rPr>
        <w:t xml:space="preserve">). בדומה לעתירות רבות אחרות מסוג זה, גם העותר בעתירה הנוכחית העלה הן טענות עקרוניות כנגד חוקיות התקנה ככלל, והן טענות כנגד השימוש הקונקרטי בתקנה 119 במקרה הנוכחי על נסיבותיו.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הכרעה בעתירות הנוגעות להריסת בתים מחייבת התייחסות למספר שאלות. </w:t>
      </w:r>
      <w:r w:rsidRPr="0021726B">
        <w:rPr>
          <w:rFonts w:ascii="Century" w:hAnsi="Century" w:cs="Miriam" w:hint="eastAsia"/>
          <w:b/>
          <w:spacing w:val="0"/>
          <w:szCs w:val="24"/>
          <w:rtl/>
        </w:rPr>
        <w:t>הראשונה</w:t>
      </w:r>
      <w:r>
        <w:rPr>
          <w:rFonts w:hint="cs"/>
          <w:rtl/>
        </w:rPr>
        <w:t xml:space="preserve">, האם ביצוע הריסה מכוח תקנה 119 הוא חוקי במישור הסמכות </w:t>
      </w:r>
      <w:r>
        <w:rPr>
          <w:rtl/>
        </w:rPr>
        <w:t>–</w:t>
      </w:r>
      <w:r>
        <w:rPr>
          <w:rFonts w:hint="cs"/>
          <w:rtl/>
        </w:rPr>
        <w:t xml:space="preserve"> שאלה זו עניינה בעצם חוקיותה של תקנה 119, במנותק מהמקרה הספציפי בו הופעלה; </w:t>
      </w:r>
      <w:r w:rsidRPr="0021726B">
        <w:rPr>
          <w:rFonts w:ascii="Century" w:hAnsi="Century" w:cs="Miriam" w:hint="eastAsia"/>
          <w:b/>
          <w:spacing w:val="0"/>
          <w:szCs w:val="24"/>
          <w:rtl/>
        </w:rPr>
        <w:t>השנייה</w:t>
      </w:r>
      <w:r>
        <w:rPr>
          <w:rFonts w:hint="cs"/>
          <w:rtl/>
        </w:rPr>
        <w:t xml:space="preserve">, האם ביצוע ההריסה הוא חוקי במישור שיקול הדעת </w:t>
      </w:r>
      <w:r>
        <w:rPr>
          <w:rtl/>
        </w:rPr>
        <w:t>–</w:t>
      </w:r>
      <w:r>
        <w:rPr>
          <w:rFonts w:hint="cs"/>
          <w:rtl/>
        </w:rPr>
        <w:t xml:space="preserve"> שאלה זו מתמקדת בנסיבות הספציפיות בהן נעשה שימוש בתקנה 119; </w:t>
      </w:r>
      <w:r w:rsidRPr="0021726B">
        <w:rPr>
          <w:rFonts w:ascii="Century" w:hAnsi="Century" w:cs="Miriam" w:hint="eastAsia"/>
          <w:b/>
          <w:spacing w:val="0"/>
          <w:szCs w:val="24"/>
          <w:rtl/>
        </w:rPr>
        <w:t>והשלישית</w:t>
      </w:r>
      <w:r>
        <w:rPr>
          <w:rFonts w:hint="cs"/>
          <w:rtl/>
        </w:rPr>
        <w:t xml:space="preserve">, הנוגעת לאופן המענה לשאלות </w:t>
      </w:r>
      <w:r>
        <w:rPr>
          <w:rFonts w:hint="cs"/>
          <w:rtl/>
        </w:rPr>
        <w:lastRenderedPageBreak/>
        <w:t xml:space="preserve">הקודמות </w:t>
      </w:r>
      <w:r>
        <w:rPr>
          <w:rtl/>
        </w:rPr>
        <w:t>–</w:t>
      </w:r>
      <w:r>
        <w:rPr>
          <w:rFonts w:hint="cs"/>
          <w:rtl/>
        </w:rPr>
        <w:t xml:space="preserve"> היא מהו המשקל שיש לייחס לפסיקה הקודמת של בית משפט זה ביחס לצווי הריסה, וזאת לאור הגישות השונות הקיימות ביחס לכך. להלן אתייחס בקצרה לשאלות שלעיל. </w:t>
      </w:r>
    </w:p>
    <w:p w:rsidR="00AD2F60" w:rsidRDefault="00AD2F60" w:rsidP="00AD2F60">
      <w:pPr>
        <w:pStyle w:val="Ruller41"/>
        <w:rPr>
          <w:rtl/>
        </w:rPr>
      </w:pPr>
    </w:p>
    <w:p w:rsidR="00AD2F60" w:rsidRPr="009672A2" w:rsidRDefault="00AD2F60" w:rsidP="00AD2F60">
      <w:pPr>
        <w:pStyle w:val="Ruller41"/>
        <w:rPr>
          <w:rFonts w:ascii="Century" w:hAnsi="Century" w:cs="Miriam"/>
          <w:b/>
          <w:spacing w:val="0"/>
          <w:szCs w:val="24"/>
          <w:rtl/>
        </w:rPr>
      </w:pPr>
      <w:r w:rsidRPr="009672A2">
        <w:rPr>
          <w:rFonts w:ascii="Century" w:hAnsi="Century" w:cs="Miriam"/>
          <w:b/>
          <w:spacing w:val="0"/>
          <w:szCs w:val="24"/>
          <w:rtl/>
        </w:rPr>
        <w:t>מישור הסמכות</w:t>
      </w:r>
      <w:r>
        <w:rPr>
          <w:rFonts w:ascii="Century" w:hAnsi="Century" w:cs="Miriam" w:hint="cs"/>
          <w:b/>
          <w:spacing w:val="0"/>
          <w:szCs w:val="24"/>
          <w:rtl/>
        </w:rPr>
        <w:t xml:space="preserve"> </w:t>
      </w:r>
      <w:r>
        <w:rPr>
          <w:rFonts w:ascii="Century" w:hAnsi="Century" w:cs="Miriam"/>
          <w:b/>
          <w:spacing w:val="0"/>
          <w:szCs w:val="24"/>
          <w:rtl/>
        </w:rPr>
        <w:t>–</w:t>
      </w:r>
      <w:r>
        <w:rPr>
          <w:rFonts w:ascii="Century" w:hAnsi="Century" w:cs="Miriam" w:hint="cs"/>
          <w:b/>
          <w:spacing w:val="0"/>
          <w:szCs w:val="24"/>
          <w:rtl/>
        </w:rPr>
        <w:t xml:space="preserve"> חוקיותה של תקנה 119</w:t>
      </w:r>
    </w:p>
    <w:p w:rsidR="00AD2F60" w:rsidRDefault="00AD2F60" w:rsidP="00AD2F60">
      <w:pPr>
        <w:pStyle w:val="Ruller41"/>
        <w:rPr>
          <w:rtl/>
        </w:rPr>
      </w:pPr>
    </w:p>
    <w:p w:rsidR="00AD2F60" w:rsidRDefault="00AD2F60" w:rsidP="00AD2F60">
      <w:pPr>
        <w:pStyle w:val="Ruller4"/>
      </w:pPr>
      <w:r>
        <w:rPr>
          <w:rFonts w:hint="cs"/>
          <w:rtl/>
        </w:rPr>
        <w:t xml:space="preserve">חוקיותה של תקנה 119 נדונה בשורה ארוכה של פסקי דין לרבות מהעת האחרונה. בפסקי הדין הללו הכיר בית משפט זה בסמכותו של המשיב לעשות שימוש בתקנה 119 תוך דחיית הטענות שהתעוררו מנגד (ראו למשל: בג"ץ 8091/14 </w:t>
      </w:r>
      <w:r w:rsidRPr="0021726B">
        <w:rPr>
          <w:rFonts w:ascii="Century" w:hAnsi="Century" w:cs="Miriam" w:hint="eastAsia"/>
          <w:b/>
          <w:spacing w:val="0"/>
          <w:sz w:val="22"/>
          <w:szCs w:val="24"/>
          <w:rtl/>
        </w:rPr>
        <w:t>המוקד</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להגנת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הפרט</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נ</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שר</w:t>
      </w:r>
      <w:r w:rsidRPr="0021726B">
        <w:rPr>
          <w:rFonts w:ascii="Century" w:hAnsi="Century" w:cs="Miriam"/>
          <w:b/>
          <w:spacing w:val="0"/>
          <w:sz w:val="22"/>
          <w:szCs w:val="24"/>
          <w:rtl/>
        </w:rPr>
        <w:t xml:space="preserve"> </w:t>
      </w:r>
      <w:proofErr w:type="spellStart"/>
      <w:r w:rsidRPr="0021726B">
        <w:rPr>
          <w:rFonts w:ascii="Century" w:hAnsi="Century" w:cs="Miriam" w:hint="eastAsia"/>
          <w:b/>
          <w:spacing w:val="0"/>
          <w:sz w:val="22"/>
          <w:szCs w:val="24"/>
          <w:rtl/>
        </w:rPr>
        <w:t>הבטחון</w:t>
      </w:r>
      <w:proofErr w:type="spellEnd"/>
      <w:r>
        <w:rPr>
          <w:rFonts w:hint="cs"/>
          <w:rtl/>
        </w:rPr>
        <w:t xml:space="preserve">, פסקה כ' לפסק דינו של השופט </w:t>
      </w:r>
      <w:r w:rsidRPr="0021726B">
        <w:rPr>
          <w:rFonts w:ascii="Century" w:hAnsi="Century" w:cs="Miriam" w:hint="eastAsia"/>
          <w:b/>
          <w:spacing w:val="0"/>
          <w:sz w:val="22"/>
          <w:szCs w:val="24"/>
          <w:rtl/>
        </w:rPr>
        <w:t>א</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רובינשטיין</w:t>
      </w:r>
      <w:r w:rsidRPr="0028729F">
        <w:rPr>
          <w:rFonts w:hint="cs"/>
          <w:rtl/>
        </w:rPr>
        <w:t xml:space="preserve"> </w:t>
      </w:r>
      <w:r>
        <w:rPr>
          <w:rFonts w:hint="cs"/>
          <w:rtl/>
        </w:rPr>
        <w:t xml:space="preserve">(31.12.2014) (להלן: </w:t>
      </w:r>
      <w:r w:rsidRPr="009672A2">
        <w:rPr>
          <w:rFonts w:ascii="Century" w:hAnsi="Century" w:cs="Miriam" w:hint="eastAsia"/>
          <w:b/>
          <w:spacing w:val="0"/>
          <w:sz w:val="22"/>
          <w:szCs w:val="24"/>
          <w:rtl/>
        </w:rPr>
        <w:t>המוקד</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להגנת</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הפרט</w:t>
      </w:r>
      <w:r>
        <w:rPr>
          <w:rFonts w:hint="cs"/>
          <w:rtl/>
        </w:rPr>
        <w:t xml:space="preserve">); בג"ץ 2036/23 </w:t>
      </w:r>
      <w:proofErr w:type="spellStart"/>
      <w:r w:rsidRPr="009672A2">
        <w:rPr>
          <w:rFonts w:ascii="Century" w:hAnsi="Century" w:cs="Miriam" w:hint="eastAsia"/>
          <w:b/>
          <w:spacing w:val="0"/>
          <w:szCs w:val="24"/>
          <w:rtl/>
        </w:rPr>
        <w:t>פרוך</w:t>
      </w:r>
      <w:proofErr w:type="spellEnd"/>
      <w:r w:rsidRPr="009672A2">
        <w:rPr>
          <w:rFonts w:ascii="Century" w:hAnsi="Century" w:cs="Miriam"/>
          <w:b/>
          <w:spacing w:val="0"/>
          <w:szCs w:val="24"/>
          <w:rtl/>
        </w:rPr>
        <w:t xml:space="preserve"> נ' המפקד הצבאי לאזור הגדה המערבית</w:t>
      </w:r>
      <w:r>
        <w:rPr>
          <w:rFonts w:hint="cs"/>
          <w:rtl/>
        </w:rPr>
        <w:t xml:space="preserve">, פסקה 5 לפסק דינו של </w:t>
      </w:r>
      <w:r w:rsidRPr="00BB7480">
        <w:rPr>
          <w:rFonts w:ascii="Century" w:hAnsi="Century" w:hint="eastAsia"/>
          <w:sz w:val="22"/>
          <w:rtl/>
        </w:rPr>
        <w:t>השופט</w:t>
      </w:r>
      <w:r w:rsidRPr="002F4599">
        <w:rPr>
          <w:rFonts w:ascii="Century" w:hAnsi="Century" w:cs="Miriam"/>
          <w:b/>
          <w:spacing w:val="0"/>
          <w:sz w:val="22"/>
          <w:szCs w:val="24"/>
          <w:rtl/>
        </w:rPr>
        <w:t xml:space="preserve"> </w:t>
      </w:r>
      <w:r w:rsidRPr="00E56C39">
        <w:rPr>
          <w:rFonts w:ascii="Century" w:hAnsi="Century" w:cs="Miriam" w:hint="eastAsia"/>
          <w:b/>
          <w:spacing w:val="0"/>
          <w:sz w:val="22"/>
          <w:szCs w:val="24"/>
          <w:rtl/>
        </w:rPr>
        <w:t>י</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עמית</w:t>
      </w:r>
      <w:r w:rsidRPr="00E56C39">
        <w:rPr>
          <w:rFonts w:ascii="Century" w:hAnsi="Century" w:cs="Miriam"/>
          <w:b/>
          <w:spacing w:val="0"/>
          <w:sz w:val="22"/>
          <w:szCs w:val="24"/>
          <w:rtl/>
        </w:rPr>
        <w:t xml:space="preserve"> </w:t>
      </w:r>
      <w:r>
        <w:rPr>
          <w:rFonts w:hint="cs"/>
          <w:rtl/>
        </w:rPr>
        <w:t xml:space="preserve">(10.4.2023) (להלן: </w:t>
      </w:r>
      <w:r w:rsidRPr="0021726B">
        <w:rPr>
          <w:rFonts w:ascii="Century" w:hAnsi="Century" w:cs="Miriam" w:hint="eastAsia"/>
          <w:b/>
          <w:spacing w:val="0"/>
          <w:sz w:val="22"/>
          <w:szCs w:val="24"/>
          <w:rtl/>
        </w:rPr>
        <w:t>עניין</w:t>
      </w:r>
      <w:r w:rsidRPr="0021726B">
        <w:rPr>
          <w:rFonts w:ascii="Century" w:hAnsi="Century" w:cs="Miriam"/>
          <w:b/>
          <w:spacing w:val="0"/>
          <w:sz w:val="22"/>
          <w:szCs w:val="24"/>
          <w:rtl/>
        </w:rPr>
        <w:t xml:space="preserve"> </w:t>
      </w:r>
      <w:proofErr w:type="spellStart"/>
      <w:r w:rsidRPr="0021726B">
        <w:rPr>
          <w:rFonts w:ascii="Century" w:hAnsi="Century" w:cs="Miriam" w:hint="eastAsia"/>
          <w:b/>
          <w:spacing w:val="0"/>
          <w:sz w:val="22"/>
          <w:szCs w:val="24"/>
          <w:rtl/>
        </w:rPr>
        <w:t>פרוך</w:t>
      </w:r>
      <w:proofErr w:type="spellEnd"/>
      <w:r>
        <w:rPr>
          <w:rFonts w:hint="cs"/>
          <w:rtl/>
        </w:rPr>
        <w:t xml:space="preserve">); בג"ץ 1376/23 </w:t>
      </w:r>
      <w:proofErr w:type="spellStart"/>
      <w:r w:rsidRPr="009672A2">
        <w:rPr>
          <w:rFonts w:ascii="Century" w:hAnsi="Century" w:cs="Miriam" w:hint="eastAsia"/>
          <w:b/>
          <w:spacing w:val="0"/>
          <w:szCs w:val="24"/>
          <w:rtl/>
        </w:rPr>
        <w:t>הילאן</w:t>
      </w:r>
      <w:proofErr w:type="spellEnd"/>
      <w:r w:rsidRPr="009672A2">
        <w:rPr>
          <w:rFonts w:ascii="Century" w:hAnsi="Century" w:cs="Miriam"/>
          <w:b/>
          <w:spacing w:val="0"/>
          <w:szCs w:val="24"/>
          <w:rtl/>
        </w:rPr>
        <w:t xml:space="preserve"> נ' המפקד הצבאי לאזור הגדה המערבית</w:t>
      </w:r>
      <w:r>
        <w:rPr>
          <w:rFonts w:hint="cs"/>
          <w:rtl/>
        </w:rPr>
        <w:t xml:space="preserve">, פסקה 15 לפסק דינו של השופט </w:t>
      </w:r>
      <w:r w:rsidRPr="0021726B">
        <w:rPr>
          <w:rFonts w:ascii="Century" w:hAnsi="Century" w:cs="Miriam" w:hint="eastAsia"/>
          <w:b/>
          <w:spacing w:val="0"/>
          <w:sz w:val="22"/>
          <w:szCs w:val="24"/>
          <w:rtl/>
        </w:rPr>
        <w:t>ד</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מינץ</w:t>
      </w:r>
      <w:r w:rsidRPr="0028729F">
        <w:rPr>
          <w:rFonts w:hint="cs"/>
          <w:rtl/>
        </w:rPr>
        <w:t xml:space="preserve"> </w:t>
      </w:r>
      <w:r>
        <w:rPr>
          <w:rFonts w:hint="cs"/>
          <w:rtl/>
        </w:rPr>
        <w:t xml:space="preserve">(13.3.2023); בג"ץ 4359/22 </w:t>
      </w:r>
      <w:r w:rsidRPr="009672A2">
        <w:rPr>
          <w:rFonts w:ascii="Century" w:hAnsi="Century" w:cs="Miriam" w:hint="eastAsia"/>
          <w:b/>
          <w:spacing w:val="0"/>
          <w:szCs w:val="24"/>
          <w:rtl/>
        </w:rPr>
        <w:t>אבו</w:t>
      </w:r>
      <w:r w:rsidRPr="009672A2">
        <w:rPr>
          <w:rFonts w:ascii="Century" w:hAnsi="Century" w:cs="Miriam"/>
          <w:b/>
          <w:spacing w:val="0"/>
          <w:szCs w:val="24"/>
          <w:rtl/>
        </w:rPr>
        <w:t xml:space="preserve"> </w:t>
      </w:r>
      <w:r w:rsidRPr="009672A2">
        <w:rPr>
          <w:rFonts w:ascii="Century" w:hAnsi="Century" w:cs="Miriam" w:hint="eastAsia"/>
          <w:b/>
          <w:spacing w:val="0"/>
          <w:szCs w:val="24"/>
          <w:rtl/>
        </w:rPr>
        <w:t>שקיר</w:t>
      </w:r>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xml:space="preserve">' </w:t>
      </w:r>
      <w:r w:rsidRPr="009672A2">
        <w:rPr>
          <w:rFonts w:ascii="Century" w:hAnsi="Century" w:cs="Miriam" w:hint="eastAsia"/>
          <w:b/>
          <w:spacing w:val="0"/>
          <w:szCs w:val="24"/>
          <w:rtl/>
        </w:rPr>
        <w:t>מפקד</w:t>
      </w:r>
      <w:r w:rsidRPr="009672A2">
        <w:rPr>
          <w:rFonts w:ascii="Century" w:hAnsi="Century" w:cs="Miriam"/>
          <w:b/>
          <w:spacing w:val="0"/>
          <w:szCs w:val="24"/>
          <w:rtl/>
        </w:rPr>
        <w:t xml:space="preserve"> </w:t>
      </w:r>
      <w:r w:rsidRPr="009672A2">
        <w:rPr>
          <w:rFonts w:ascii="Century" w:hAnsi="Century" w:cs="Miriam" w:hint="eastAsia"/>
          <w:b/>
          <w:spacing w:val="0"/>
          <w:szCs w:val="24"/>
          <w:rtl/>
        </w:rPr>
        <w:t>כוחות</w:t>
      </w:r>
      <w:r w:rsidRPr="009672A2">
        <w:rPr>
          <w:rFonts w:ascii="Century" w:hAnsi="Century" w:cs="Miriam"/>
          <w:b/>
          <w:spacing w:val="0"/>
          <w:szCs w:val="24"/>
          <w:rtl/>
        </w:rPr>
        <w:t xml:space="preserve"> </w:t>
      </w:r>
      <w:r w:rsidRPr="009672A2">
        <w:rPr>
          <w:rFonts w:ascii="Century" w:hAnsi="Century" w:cs="Miriam" w:hint="eastAsia"/>
          <w:b/>
          <w:spacing w:val="0"/>
          <w:szCs w:val="24"/>
          <w:rtl/>
        </w:rPr>
        <w:t>צה</w:t>
      </w:r>
      <w:r w:rsidRPr="009672A2">
        <w:rPr>
          <w:rFonts w:ascii="Century" w:hAnsi="Century" w:cs="Miriam"/>
          <w:b/>
          <w:spacing w:val="0"/>
          <w:szCs w:val="24"/>
          <w:rtl/>
        </w:rPr>
        <w:t>"</w:t>
      </w:r>
      <w:r w:rsidRPr="009672A2">
        <w:rPr>
          <w:rFonts w:ascii="Century" w:hAnsi="Century" w:cs="Miriam" w:hint="eastAsia"/>
          <w:b/>
          <w:spacing w:val="0"/>
          <w:szCs w:val="24"/>
          <w:rtl/>
        </w:rPr>
        <w:t>ל</w:t>
      </w:r>
      <w:r w:rsidRPr="009672A2">
        <w:rPr>
          <w:rFonts w:ascii="Century" w:hAnsi="Century" w:cs="Miriam"/>
          <w:b/>
          <w:spacing w:val="0"/>
          <w:szCs w:val="24"/>
          <w:rtl/>
        </w:rPr>
        <w:t xml:space="preserve"> </w:t>
      </w:r>
      <w:r w:rsidRPr="009672A2">
        <w:rPr>
          <w:rFonts w:ascii="Century" w:hAnsi="Century" w:cs="Miriam" w:hint="eastAsia"/>
          <w:b/>
          <w:spacing w:val="0"/>
          <w:szCs w:val="24"/>
          <w:rtl/>
        </w:rPr>
        <w:t>בגדה</w:t>
      </w:r>
      <w:r w:rsidRPr="009672A2">
        <w:rPr>
          <w:rFonts w:ascii="Century" w:hAnsi="Century" w:cs="Miriam"/>
          <w:b/>
          <w:spacing w:val="0"/>
          <w:szCs w:val="24"/>
          <w:rtl/>
        </w:rPr>
        <w:t xml:space="preserve"> </w:t>
      </w:r>
      <w:r w:rsidRPr="009672A2">
        <w:rPr>
          <w:rFonts w:ascii="Century" w:hAnsi="Century" w:cs="Miriam" w:hint="eastAsia"/>
          <w:b/>
          <w:spacing w:val="0"/>
          <w:szCs w:val="24"/>
          <w:rtl/>
        </w:rPr>
        <w:t>המערבית</w:t>
      </w:r>
      <w:r>
        <w:rPr>
          <w:rFonts w:hint="cs"/>
          <w:rtl/>
        </w:rPr>
        <w:t xml:space="preserve">, פסקה 16 לפסק דינו של השופט </w:t>
      </w:r>
      <w:r w:rsidRPr="00E56C39">
        <w:rPr>
          <w:rFonts w:ascii="Century" w:hAnsi="Century" w:cs="Miriam" w:hint="eastAsia"/>
          <w:b/>
          <w:spacing w:val="0"/>
          <w:sz w:val="22"/>
          <w:szCs w:val="24"/>
          <w:rtl/>
        </w:rPr>
        <w:t>א</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שטיין</w:t>
      </w:r>
      <w:r w:rsidRPr="004A0C20">
        <w:rPr>
          <w:rFonts w:hint="cs"/>
          <w:rtl/>
        </w:rPr>
        <w:t xml:space="preserve"> </w:t>
      </w:r>
      <w:r>
        <w:rPr>
          <w:rFonts w:hint="cs"/>
          <w:rtl/>
        </w:rPr>
        <w:t xml:space="preserve">(17.7.2022)).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עוד נקבע כי התקנה היא חיקוק שנחקק לפני חקיקת חוק יסוד: כבוד האדם וחירותו, וכי משום כך אין לבחון את חוקיותו בהתאם להוראות חוק היסוד. יחד עם זאת, וככל חיקוק אחר שקדם לחוק היסוד, יש לפרש את התקנה ברוח החוק, ובהתאם לבחון האם הפעלתה נעשתה לתכלית ראויה ועומדת במבחן המידתיות (בג"ץ 7787/22 </w:t>
      </w:r>
      <w:proofErr w:type="spellStart"/>
      <w:r w:rsidRPr="005E572C">
        <w:rPr>
          <w:rFonts w:ascii="Century" w:hAnsi="Century" w:cs="Miriam" w:hint="cs"/>
          <w:b/>
          <w:spacing w:val="0"/>
          <w:szCs w:val="24"/>
          <w:rtl/>
        </w:rPr>
        <w:t>עבאד</w:t>
      </w:r>
      <w:proofErr w:type="spellEnd"/>
      <w:r w:rsidRPr="005E572C">
        <w:rPr>
          <w:rFonts w:ascii="Century" w:hAnsi="Century" w:cs="Miriam" w:hint="cs"/>
          <w:b/>
          <w:spacing w:val="0"/>
          <w:szCs w:val="24"/>
          <w:rtl/>
        </w:rPr>
        <w:t xml:space="preserve"> נ' המפקד הצבאי </w:t>
      </w:r>
      <w:proofErr w:type="spellStart"/>
      <w:r w:rsidRPr="005E572C">
        <w:rPr>
          <w:rFonts w:ascii="Century" w:hAnsi="Century" w:cs="Miriam" w:hint="cs"/>
          <w:b/>
          <w:spacing w:val="0"/>
          <w:szCs w:val="24"/>
          <w:rtl/>
        </w:rPr>
        <w:t>לאיו"ש</w:t>
      </w:r>
      <w:proofErr w:type="spellEnd"/>
      <w:r>
        <w:rPr>
          <w:rFonts w:hint="cs"/>
          <w:rtl/>
        </w:rPr>
        <w:t xml:space="preserve">, פסקה 21 (14.12.2022)). השימוש בתקנה צריך לכן להיות שימוש זהיר, מצומצם ומידתי (בג"ץ 5290/14 </w:t>
      </w:r>
      <w:proofErr w:type="spellStart"/>
      <w:r w:rsidRPr="009672A2">
        <w:rPr>
          <w:rFonts w:ascii="Century" w:hAnsi="Century" w:cs="Miriam" w:hint="eastAsia"/>
          <w:b/>
          <w:spacing w:val="0"/>
          <w:szCs w:val="24"/>
          <w:rtl/>
        </w:rPr>
        <w:t>קואסמה</w:t>
      </w:r>
      <w:proofErr w:type="spellEnd"/>
      <w:r w:rsidRPr="009672A2">
        <w:rPr>
          <w:rFonts w:ascii="Century" w:hAnsi="Century" w:cs="Miriam"/>
          <w:b/>
          <w:spacing w:val="0"/>
          <w:szCs w:val="24"/>
          <w:rtl/>
        </w:rPr>
        <w:t xml:space="preserve"> נ' המפקד הצבאי </w:t>
      </w:r>
      <w:proofErr w:type="spellStart"/>
      <w:r w:rsidRPr="009672A2">
        <w:rPr>
          <w:rFonts w:ascii="Century" w:hAnsi="Century" w:cs="Miriam" w:hint="eastAsia"/>
          <w:b/>
          <w:spacing w:val="0"/>
          <w:szCs w:val="24"/>
          <w:rtl/>
        </w:rPr>
        <w:t>לאיזור</w:t>
      </w:r>
      <w:proofErr w:type="spellEnd"/>
      <w:r w:rsidRPr="009672A2">
        <w:rPr>
          <w:rFonts w:ascii="Century" w:hAnsi="Century" w:cs="Miriam"/>
          <w:b/>
          <w:spacing w:val="0"/>
          <w:szCs w:val="24"/>
          <w:rtl/>
        </w:rPr>
        <w:t xml:space="preserve"> הגדה המערבית</w:t>
      </w:r>
      <w:r>
        <w:rPr>
          <w:rFonts w:hint="cs"/>
          <w:rtl/>
        </w:rPr>
        <w:t xml:space="preserve"> (11.8.2014) (להלן: עניין </w:t>
      </w:r>
      <w:proofErr w:type="spellStart"/>
      <w:r w:rsidRPr="009672A2">
        <w:rPr>
          <w:rFonts w:ascii="Century" w:hAnsi="Century" w:cs="Miriam" w:hint="eastAsia"/>
          <w:b/>
          <w:spacing w:val="0"/>
          <w:sz w:val="22"/>
          <w:szCs w:val="24"/>
          <w:rtl/>
        </w:rPr>
        <w:t>קואסמה</w:t>
      </w:r>
      <w:proofErr w:type="spellEnd"/>
      <w:r>
        <w:rPr>
          <w:rFonts w:hint="cs"/>
          <w:rtl/>
        </w:rPr>
        <w:t>)).</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הפסיקה אף הוסיפה כי משזו ההלכה הפסוקה, אין מקום לשוב ולהידרש מבראשית בכל עתירה שבמוקדה צו הריסה מכוח תקנה 119 לשאלות העקרוניות הנוגעות למישור הסמכות (ראו מיני רבים: בג"ץ 87/23 </w:t>
      </w:r>
      <w:r w:rsidRPr="009672A2">
        <w:rPr>
          <w:rFonts w:ascii="Century" w:hAnsi="Century" w:cs="Miriam" w:hint="eastAsia"/>
          <w:b/>
          <w:spacing w:val="0"/>
          <w:szCs w:val="24"/>
          <w:rtl/>
        </w:rPr>
        <w:t>גמגום</w:t>
      </w:r>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xml:space="preserve">' </w:t>
      </w:r>
      <w:r w:rsidRPr="009672A2">
        <w:rPr>
          <w:rFonts w:ascii="Century" w:hAnsi="Century" w:cs="Miriam" w:hint="eastAsia"/>
          <w:b/>
          <w:spacing w:val="0"/>
          <w:szCs w:val="24"/>
          <w:rtl/>
        </w:rPr>
        <w:t>המפקד</w:t>
      </w:r>
      <w:r w:rsidRPr="009672A2">
        <w:rPr>
          <w:rFonts w:ascii="Century" w:hAnsi="Century" w:cs="Miriam"/>
          <w:b/>
          <w:spacing w:val="0"/>
          <w:szCs w:val="24"/>
          <w:rtl/>
        </w:rPr>
        <w:t xml:space="preserve"> </w:t>
      </w:r>
      <w:r w:rsidRPr="009672A2">
        <w:rPr>
          <w:rFonts w:ascii="Century" w:hAnsi="Century" w:cs="Miriam" w:hint="eastAsia"/>
          <w:b/>
          <w:spacing w:val="0"/>
          <w:szCs w:val="24"/>
          <w:rtl/>
        </w:rPr>
        <w:t>הצבאי</w:t>
      </w:r>
      <w:r w:rsidRPr="009672A2">
        <w:rPr>
          <w:rFonts w:ascii="Century" w:hAnsi="Century" w:cs="Miriam"/>
          <w:b/>
          <w:spacing w:val="0"/>
          <w:szCs w:val="24"/>
          <w:rtl/>
        </w:rPr>
        <w:t xml:space="preserve"> </w:t>
      </w:r>
      <w:r w:rsidRPr="009672A2">
        <w:rPr>
          <w:rFonts w:ascii="Century" w:hAnsi="Century" w:cs="Miriam" w:hint="eastAsia"/>
          <w:b/>
          <w:spacing w:val="0"/>
          <w:szCs w:val="24"/>
          <w:rtl/>
        </w:rPr>
        <w:t>לאזור</w:t>
      </w:r>
      <w:r w:rsidRPr="009672A2">
        <w:rPr>
          <w:rFonts w:ascii="Century" w:hAnsi="Century" w:cs="Miriam"/>
          <w:b/>
          <w:spacing w:val="0"/>
          <w:szCs w:val="24"/>
          <w:rtl/>
        </w:rPr>
        <w:t xml:space="preserve"> </w:t>
      </w:r>
      <w:r w:rsidRPr="009672A2">
        <w:rPr>
          <w:rFonts w:ascii="Century" w:hAnsi="Century" w:cs="Miriam" w:hint="eastAsia"/>
          <w:b/>
          <w:spacing w:val="0"/>
          <w:szCs w:val="24"/>
          <w:rtl/>
        </w:rPr>
        <w:t>יהודה</w:t>
      </w:r>
      <w:r w:rsidRPr="009672A2">
        <w:rPr>
          <w:rFonts w:ascii="Century" w:hAnsi="Century" w:cs="Miriam"/>
          <w:b/>
          <w:spacing w:val="0"/>
          <w:szCs w:val="24"/>
          <w:rtl/>
        </w:rPr>
        <w:t xml:space="preserve"> </w:t>
      </w:r>
      <w:r w:rsidRPr="009672A2">
        <w:rPr>
          <w:rFonts w:ascii="Century" w:hAnsi="Century" w:cs="Miriam" w:hint="eastAsia"/>
          <w:b/>
          <w:spacing w:val="0"/>
          <w:szCs w:val="24"/>
          <w:rtl/>
        </w:rPr>
        <w:t>ושומרון</w:t>
      </w:r>
      <w:r>
        <w:rPr>
          <w:rFonts w:hint="cs"/>
          <w:rtl/>
        </w:rPr>
        <w:t xml:space="preserve">, פסקה 13 (5.2.2023) (להלן: </w:t>
      </w:r>
      <w:r w:rsidRPr="009672A2">
        <w:rPr>
          <w:rFonts w:ascii="Century" w:hAnsi="Century" w:cs="Miriam" w:hint="eastAsia"/>
          <w:b/>
          <w:spacing w:val="0"/>
          <w:szCs w:val="24"/>
          <w:rtl/>
        </w:rPr>
        <w:t>עניין</w:t>
      </w:r>
      <w:r w:rsidRPr="009672A2">
        <w:rPr>
          <w:rFonts w:ascii="Century" w:hAnsi="Century" w:cs="Miriam"/>
          <w:b/>
          <w:spacing w:val="0"/>
          <w:szCs w:val="24"/>
          <w:rtl/>
        </w:rPr>
        <w:t xml:space="preserve"> </w:t>
      </w:r>
      <w:r w:rsidRPr="009672A2">
        <w:rPr>
          <w:rFonts w:ascii="Century" w:hAnsi="Century" w:cs="Miriam" w:hint="eastAsia"/>
          <w:b/>
          <w:spacing w:val="0"/>
          <w:szCs w:val="24"/>
          <w:rtl/>
        </w:rPr>
        <w:t>גמגום</w:t>
      </w:r>
      <w:r>
        <w:rPr>
          <w:rFonts w:hint="cs"/>
          <w:rtl/>
        </w:rPr>
        <w:t xml:space="preserve">); בג"ץ 6905/18 </w:t>
      </w:r>
      <w:proofErr w:type="spellStart"/>
      <w:r w:rsidRPr="009672A2">
        <w:rPr>
          <w:rFonts w:ascii="Century" w:hAnsi="Century" w:cs="Miriam" w:hint="eastAsia"/>
          <w:b/>
          <w:spacing w:val="0"/>
          <w:szCs w:val="24"/>
          <w:rtl/>
        </w:rPr>
        <w:t>נאג</w:t>
      </w:r>
      <w:r w:rsidRPr="009672A2">
        <w:rPr>
          <w:rFonts w:ascii="Century" w:hAnsi="Century" w:cs="Miriam"/>
          <w:b/>
          <w:spacing w:val="0"/>
          <w:szCs w:val="24"/>
          <w:rtl/>
        </w:rPr>
        <w:t>'י</w:t>
      </w:r>
      <w:proofErr w:type="spellEnd"/>
      <w:r w:rsidRPr="009672A2">
        <w:rPr>
          <w:rFonts w:ascii="Century" w:hAnsi="Century" w:cs="Miriam"/>
          <w:b/>
          <w:spacing w:val="0"/>
          <w:szCs w:val="24"/>
          <w:rtl/>
        </w:rPr>
        <w:t xml:space="preserve"> נ' המפקד הצבאי </w:t>
      </w:r>
      <w:proofErr w:type="spellStart"/>
      <w:r w:rsidRPr="009672A2">
        <w:rPr>
          <w:rFonts w:ascii="Century" w:hAnsi="Century" w:cs="Miriam" w:hint="eastAsia"/>
          <w:b/>
          <w:spacing w:val="0"/>
          <w:szCs w:val="24"/>
          <w:rtl/>
        </w:rPr>
        <w:t>לאיזור</w:t>
      </w:r>
      <w:proofErr w:type="spellEnd"/>
      <w:r w:rsidRPr="009672A2">
        <w:rPr>
          <w:rFonts w:ascii="Century" w:hAnsi="Century" w:cs="Miriam"/>
          <w:b/>
          <w:spacing w:val="0"/>
          <w:szCs w:val="24"/>
          <w:rtl/>
        </w:rPr>
        <w:t xml:space="preserve"> הגדה המערבית</w:t>
      </w:r>
      <w:r>
        <w:rPr>
          <w:rFonts w:hint="cs"/>
          <w:rtl/>
        </w:rPr>
        <w:t xml:space="preserve">, פסקה 19 (2.12.2018) (להלן: </w:t>
      </w:r>
      <w:r w:rsidRPr="0021726B">
        <w:rPr>
          <w:rFonts w:ascii="Century" w:hAnsi="Century" w:cs="Miriam" w:hint="eastAsia"/>
          <w:b/>
          <w:spacing w:val="0"/>
          <w:sz w:val="22"/>
          <w:szCs w:val="24"/>
          <w:rtl/>
        </w:rPr>
        <w:t>עניין</w:t>
      </w:r>
      <w:r w:rsidRPr="0021726B">
        <w:rPr>
          <w:rFonts w:ascii="Century" w:hAnsi="Century" w:cs="Miriam"/>
          <w:b/>
          <w:spacing w:val="0"/>
          <w:sz w:val="22"/>
          <w:szCs w:val="24"/>
          <w:rtl/>
        </w:rPr>
        <w:t xml:space="preserve"> </w:t>
      </w:r>
      <w:proofErr w:type="spellStart"/>
      <w:r w:rsidRPr="0021726B">
        <w:rPr>
          <w:rFonts w:ascii="Century" w:hAnsi="Century" w:cs="Miriam" w:hint="eastAsia"/>
          <w:b/>
          <w:spacing w:val="0"/>
          <w:sz w:val="22"/>
          <w:szCs w:val="24"/>
          <w:rtl/>
        </w:rPr>
        <w:t>נאג</w:t>
      </w:r>
      <w:r w:rsidRPr="0021726B">
        <w:rPr>
          <w:rFonts w:ascii="Century" w:hAnsi="Century" w:cs="Miriam"/>
          <w:b/>
          <w:spacing w:val="0"/>
          <w:sz w:val="22"/>
          <w:szCs w:val="24"/>
          <w:rtl/>
        </w:rPr>
        <w:t>'</w:t>
      </w:r>
      <w:r w:rsidRPr="0021726B">
        <w:rPr>
          <w:rFonts w:ascii="Century" w:hAnsi="Century" w:cs="Miriam" w:hint="eastAsia"/>
          <w:b/>
          <w:spacing w:val="0"/>
          <w:sz w:val="22"/>
          <w:szCs w:val="24"/>
          <w:rtl/>
        </w:rPr>
        <w:t>י</w:t>
      </w:r>
      <w:proofErr w:type="spellEnd"/>
      <w:r>
        <w:rPr>
          <w:rFonts w:hint="cs"/>
          <w:rtl/>
        </w:rPr>
        <w:t xml:space="preserve">). כן ראו פסקה 9 לפסק דינה של חברתי השופטת </w:t>
      </w:r>
      <w:proofErr w:type="spellStart"/>
      <w:r w:rsidRPr="00673CD2">
        <w:rPr>
          <w:rFonts w:ascii="Century" w:hAnsi="Century" w:cs="Miriam" w:hint="cs"/>
          <w:b/>
          <w:spacing w:val="0"/>
          <w:sz w:val="22"/>
          <w:szCs w:val="24"/>
          <w:rtl/>
        </w:rPr>
        <w:t>וילנר</w:t>
      </w:r>
      <w:proofErr w:type="spellEnd"/>
      <w:r>
        <w:rPr>
          <w:rFonts w:hint="cs"/>
          <w:rtl/>
        </w:rPr>
        <w:t>).</w:t>
      </w:r>
    </w:p>
    <w:p w:rsidR="00AD2F60" w:rsidRDefault="00AD2F60" w:rsidP="00AD2F60">
      <w:pPr>
        <w:pStyle w:val="Ruller41"/>
        <w:rPr>
          <w:rtl/>
        </w:rPr>
      </w:pPr>
    </w:p>
    <w:p w:rsidR="00AD2F60" w:rsidRDefault="00AD2F60" w:rsidP="00AD2F60">
      <w:pPr>
        <w:pStyle w:val="Ruller4"/>
        <w:rPr>
          <w:rtl/>
        </w:rPr>
      </w:pPr>
      <w:r>
        <w:rPr>
          <w:rFonts w:hint="cs"/>
          <w:rtl/>
        </w:rPr>
        <w:t xml:space="preserve">יחד עם זאת, עיון בפסקי הדין השונים שעסקו בסוגיה מעלה כי קיימות גישות שונות ביחס לחוקיות תקנה 119. על פי גישה אחת, העומדת בבסיס ההלכה הפסוקה כיום, השימוש בתקנה 119 באופן המאפשר להחרים, להרוס ולאטום את בתיהם של אלה </w:t>
      </w:r>
      <w:r>
        <w:rPr>
          <w:rFonts w:hint="cs"/>
          <w:rtl/>
        </w:rPr>
        <w:lastRenderedPageBreak/>
        <w:t xml:space="preserve">שביצעו פעילות עוינת נגד מדינת ישראל הוא חוקי, והוא אינו נוגד את הוראות המשפט הבינלאומי ואף לא את הוראות המשפט הישראלי (ראו למשל: פסק דינה של השופטת </w:t>
      </w:r>
      <w:proofErr w:type="spellStart"/>
      <w:r w:rsidRPr="001E2B55">
        <w:rPr>
          <w:rFonts w:ascii="Century" w:hAnsi="Century" w:cs="Miriam" w:hint="cs"/>
          <w:b/>
          <w:spacing w:val="0"/>
          <w:sz w:val="22"/>
          <w:szCs w:val="24"/>
          <w:rtl/>
        </w:rPr>
        <w:t>וילנר</w:t>
      </w:r>
      <w:proofErr w:type="spellEnd"/>
      <w:r w:rsidRPr="001E2B55">
        <w:rPr>
          <w:rFonts w:hint="cs"/>
          <w:rtl/>
        </w:rPr>
        <w:t xml:space="preserve"> </w:t>
      </w:r>
      <w:r>
        <w:rPr>
          <w:rFonts w:hint="cs"/>
          <w:rtl/>
        </w:rPr>
        <w:t xml:space="preserve">בעניין </w:t>
      </w:r>
      <w:proofErr w:type="spellStart"/>
      <w:r w:rsidRPr="009672A2">
        <w:rPr>
          <w:rFonts w:ascii="Century" w:hAnsi="Century" w:cs="Miriam" w:hint="eastAsia"/>
          <w:b/>
          <w:spacing w:val="0"/>
          <w:szCs w:val="24"/>
          <w:rtl/>
        </w:rPr>
        <w:t>נאג</w:t>
      </w:r>
      <w:r w:rsidRPr="009672A2">
        <w:rPr>
          <w:rFonts w:ascii="Century" w:hAnsi="Century" w:cs="Miriam"/>
          <w:b/>
          <w:spacing w:val="0"/>
          <w:szCs w:val="24"/>
          <w:rtl/>
        </w:rPr>
        <w:t>'י</w:t>
      </w:r>
      <w:proofErr w:type="spellEnd"/>
      <w:r>
        <w:rPr>
          <w:rFonts w:hint="cs"/>
          <w:rtl/>
        </w:rPr>
        <w:t xml:space="preserve">, בפסקאות 25-20; פסק דינו של השופט </w:t>
      </w:r>
      <w:r>
        <w:rPr>
          <w:rFonts w:ascii="Century" w:hAnsi="Century" w:cs="Miriam" w:hint="cs"/>
          <w:b/>
          <w:spacing w:val="0"/>
          <w:sz w:val="22"/>
          <w:szCs w:val="24"/>
          <w:rtl/>
        </w:rPr>
        <w:t xml:space="preserve">נ' </w:t>
      </w:r>
      <w:proofErr w:type="spellStart"/>
      <w:r w:rsidRPr="001E2B55">
        <w:rPr>
          <w:rFonts w:ascii="Century" w:hAnsi="Century" w:cs="Miriam" w:hint="cs"/>
          <w:b/>
          <w:spacing w:val="0"/>
          <w:sz w:val="22"/>
          <w:szCs w:val="24"/>
          <w:rtl/>
        </w:rPr>
        <w:t>סולברג</w:t>
      </w:r>
      <w:proofErr w:type="spellEnd"/>
      <w:r w:rsidRPr="001E2B55">
        <w:rPr>
          <w:rFonts w:hint="cs"/>
          <w:rtl/>
        </w:rPr>
        <w:t xml:space="preserve"> </w:t>
      </w:r>
      <w:r>
        <w:rPr>
          <w:rFonts w:hint="cs"/>
          <w:rtl/>
        </w:rPr>
        <w:t xml:space="preserve">בבג"ץ 6826/20 </w:t>
      </w:r>
      <w:proofErr w:type="spellStart"/>
      <w:r w:rsidRPr="009672A2">
        <w:rPr>
          <w:rFonts w:ascii="Century" w:hAnsi="Century" w:cs="Miriam" w:hint="eastAsia"/>
          <w:b/>
          <w:spacing w:val="0"/>
          <w:szCs w:val="24"/>
          <w:rtl/>
        </w:rPr>
        <w:t>דויקאת</w:t>
      </w:r>
      <w:proofErr w:type="spellEnd"/>
      <w:r w:rsidRPr="009672A2">
        <w:rPr>
          <w:rFonts w:ascii="Century" w:hAnsi="Century" w:cs="Miriam"/>
          <w:b/>
          <w:spacing w:val="0"/>
          <w:szCs w:val="24"/>
          <w:rtl/>
        </w:rPr>
        <w:t xml:space="preserve"> נ' מפקד כוחות </w:t>
      </w:r>
      <w:r w:rsidRPr="009672A2">
        <w:rPr>
          <w:rFonts w:ascii="Century" w:hAnsi="Century" w:cs="Miriam" w:hint="eastAsia"/>
          <w:b/>
          <w:spacing w:val="0"/>
          <w:szCs w:val="24"/>
          <w:rtl/>
        </w:rPr>
        <w:t>צה</w:t>
      </w:r>
      <w:r w:rsidRPr="009672A2">
        <w:rPr>
          <w:rFonts w:ascii="Century" w:hAnsi="Century" w:cs="Miriam"/>
          <w:b/>
          <w:spacing w:val="0"/>
          <w:szCs w:val="24"/>
          <w:rtl/>
        </w:rPr>
        <w:t xml:space="preserve">"ל </w:t>
      </w:r>
      <w:r w:rsidRPr="009672A2">
        <w:rPr>
          <w:rFonts w:ascii="Century" w:hAnsi="Century" w:cs="Miriam" w:hint="eastAsia"/>
          <w:b/>
          <w:spacing w:val="0"/>
          <w:szCs w:val="24"/>
          <w:rtl/>
        </w:rPr>
        <w:t>באזור</w:t>
      </w:r>
      <w:r w:rsidRPr="009672A2">
        <w:rPr>
          <w:rFonts w:ascii="Century" w:hAnsi="Century" w:cs="Miriam"/>
          <w:b/>
          <w:spacing w:val="0"/>
          <w:szCs w:val="24"/>
          <w:rtl/>
        </w:rPr>
        <w:t xml:space="preserve"> </w:t>
      </w:r>
      <w:r w:rsidRPr="009672A2">
        <w:rPr>
          <w:rFonts w:ascii="Century" w:hAnsi="Century" w:cs="Miriam" w:hint="eastAsia"/>
          <w:b/>
          <w:spacing w:val="0"/>
          <w:szCs w:val="24"/>
          <w:rtl/>
        </w:rPr>
        <w:t>יהודה</w:t>
      </w:r>
      <w:r w:rsidRPr="009672A2">
        <w:rPr>
          <w:rFonts w:ascii="Century" w:hAnsi="Century" w:cs="Miriam"/>
          <w:b/>
          <w:spacing w:val="0"/>
          <w:szCs w:val="24"/>
          <w:rtl/>
        </w:rPr>
        <w:t xml:space="preserve"> </w:t>
      </w:r>
      <w:r w:rsidRPr="009672A2">
        <w:rPr>
          <w:rFonts w:ascii="Century" w:hAnsi="Century" w:cs="Miriam" w:hint="eastAsia"/>
          <w:b/>
          <w:spacing w:val="0"/>
          <w:szCs w:val="24"/>
          <w:rtl/>
        </w:rPr>
        <w:t>והשומרון</w:t>
      </w:r>
      <w:r>
        <w:rPr>
          <w:rFonts w:hint="cs"/>
          <w:rtl/>
        </w:rPr>
        <w:t xml:space="preserve">, בפסקאות 44-25 (25.10.2020) (להלן: </w:t>
      </w:r>
      <w:r w:rsidRPr="009672A2">
        <w:rPr>
          <w:rFonts w:ascii="Century" w:hAnsi="Century" w:cs="Miriam" w:hint="eastAsia"/>
          <w:b/>
          <w:spacing w:val="0"/>
          <w:szCs w:val="24"/>
          <w:rtl/>
        </w:rPr>
        <w:t>עניין</w:t>
      </w:r>
      <w:r w:rsidRPr="009672A2">
        <w:rPr>
          <w:rFonts w:ascii="Century" w:hAnsi="Century" w:cs="Miriam"/>
          <w:b/>
          <w:spacing w:val="0"/>
          <w:szCs w:val="24"/>
          <w:rtl/>
        </w:rPr>
        <w:t xml:space="preserve"> </w:t>
      </w:r>
      <w:proofErr w:type="spellStart"/>
      <w:r w:rsidRPr="009672A2">
        <w:rPr>
          <w:rFonts w:ascii="Century" w:hAnsi="Century" w:cs="Miriam" w:hint="eastAsia"/>
          <w:b/>
          <w:spacing w:val="0"/>
          <w:szCs w:val="24"/>
          <w:rtl/>
        </w:rPr>
        <w:t>דויקאת</w:t>
      </w:r>
      <w:proofErr w:type="spellEnd"/>
      <w:r>
        <w:rPr>
          <w:rFonts w:hint="cs"/>
          <w:rtl/>
        </w:rPr>
        <w:t xml:space="preserve">)). כפי שציינתי, גם השופטים הדוגלים בגישה זו סבורים כי שאלת חוקיות השימוש של המשיב בתקנה כפופה לכללי הפרשנות, וצריכה להיבחן ברוח הוראות חוק יסוד: כבוד האדם וחירותו. </w:t>
      </w:r>
    </w:p>
    <w:p w:rsidR="00AD2F60" w:rsidRDefault="00AD2F60" w:rsidP="00AD2F60">
      <w:pPr>
        <w:pStyle w:val="Ruller41"/>
        <w:rPr>
          <w:rtl/>
        </w:rPr>
      </w:pPr>
    </w:p>
    <w:p w:rsidR="00AD2F60" w:rsidRDefault="00AD2F60" w:rsidP="00AD2F60">
      <w:pPr>
        <w:pStyle w:val="Ruller4"/>
      </w:pPr>
      <w:r>
        <w:rPr>
          <w:rtl/>
        </w:rPr>
        <w:tab/>
      </w:r>
      <w:r>
        <w:rPr>
          <w:rFonts w:hint="cs"/>
          <w:rtl/>
        </w:rPr>
        <w:t xml:space="preserve">לצד זאת, קיימת בבית המשפט גם גישה נוספת. כך, מספר שופטים הביעו הסתייגות מהשימוש בתקנה 119, ועמדו על כך כי השימוש בה הוא בעייתי וקיים ספק לגבי חוקיותו. זאת, בין היתר, לאור כללי המשפט הבינלאומי, ובפרט לאור האיסור על "ענישה קולקטיבית" (ראו למשל: חוות דעתו של השופט </w:t>
      </w:r>
      <w:r w:rsidRPr="00673CD2">
        <w:rPr>
          <w:rFonts w:ascii="Century" w:hAnsi="Century" w:cs="Miriam" w:hint="cs"/>
          <w:b/>
          <w:spacing w:val="0"/>
          <w:sz w:val="22"/>
          <w:szCs w:val="24"/>
          <w:rtl/>
        </w:rPr>
        <w:t>מ' מזוז</w:t>
      </w:r>
      <w:r w:rsidRPr="00673CD2">
        <w:rPr>
          <w:rFonts w:hint="cs"/>
          <w:rtl/>
        </w:rPr>
        <w:t xml:space="preserve"> </w:t>
      </w:r>
      <w:r>
        <w:rPr>
          <w:rFonts w:hint="cs"/>
          <w:rtl/>
        </w:rPr>
        <w:t xml:space="preserve">בבג"ץ 7220/15 </w:t>
      </w:r>
      <w:proofErr w:type="spellStart"/>
      <w:r w:rsidRPr="009672A2">
        <w:rPr>
          <w:rFonts w:ascii="Century" w:hAnsi="Century" w:cs="Miriam" w:hint="eastAsia"/>
          <w:b/>
          <w:spacing w:val="0"/>
          <w:sz w:val="22"/>
          <w:szCs w:val="24"/>
          <w:rtl/>
        </w:rPr>
        <w:t>עליוה</w:t>
      </w:r>
      <w:proofErr w:type="spellEnd"/>
      <w:r w:rsidRPr="009672A2">
        <w:rPr>
          <w:rFonts w:ascii="Century" w:hAnsi="Century" w:cs="Miriam"/>
          <w:b/>
          <w:spacing w:val="0"/>
          <w:sz w:val="22"/>
          <w:szCs w:val="24"/>
          <w:rtl/>
        </w:rPr>
        <w:t xml:space="preserve"> נ' מפקד כוחות צה"ל בגדה המערבים </w:t>
      </w:r>
      <w:r>
        <w:rPr>
          <w:rFonts w:hint="cs"/>
          <w:rtl/>
        </w:rPr>
        <w:t xml:space="preserve">(1.12.2015); חוות דעתו של השופט </w:t>
      </w:r>
      <w:r>
        <w:rPr>
          <w:rFonts w:ascii="Century" w:hAnsi="Century" w:cs="Miriam" w:hint="cs"/>
          <w:b/>
          <w:spacing w:val="0"/>
          <w:sz w:val="22"/>
          <w:szCs w:val="24"/>
          <w:rtl/>
        </w:rPr>
        <w:t xml:space="preserve">ח' </w:t>
      </w:r>
      <w:r w:rsidRPr="00673CD2">
        <w:rPr>
          <w:rFonts w:ascii="Century" w:hAnsi="Century" w:cs="Miriam" w:hint="cs"/>
          <w:b/>
          <w:spacing w:val="0"/>
          <w:sz w:val="22"/>
          <w:szCs w:val="24"/>
          <w:rtl/>
        </w:rPr>
        <w:t>כבוב</w:t>
      </w:r>
      <w:r w:rsidRPr="00673CD2">
        <w:rPr>
          <w:rFonts w:hint="cs"/>
          <w:rtl/>
        </w:rPr>
        <w:t xml:space="preserve"> </w:t>
      </w:r>
      <w:r>
        <w:rPr>
          <w:rFonts w:hint="cs"/>
          <w:rtl/>
        </w:rPr>
        <w:t xml:space="preserve">בעניין </w:t>
      </w:r>
      <w:proofErr w:type="spellStart"/>
      <w:r w:rsidRPr="009672A2">
        <w:rPr>
          <w:rFonts w:ascii="Century" w:hAnsi="Century" w:cs="Miriam" w:hint="eastAsia"/>
          <w:b/>
          <w:spacing w:val="0"/>
          <w:sz w:val="22"/>
          <w:szCs w:val="24"/>
          <w:rtl/>
        </w:rPr>
        <w:t>פרוך</w:t>
      </w:r>
      <w:proofErr w:type="spellEnd"/>
      <w:r>
        <w:rPr>
          <w:rFonts w:hint="cs"/>
          <w:rtl/>
        </w:rPr>
        <w:t xml:space="preserve">); כמו גם לאור המשפט החוקתי בישראל, ובפרט בראי מבחני המידתיות החוקתיים (חוות דעתו של השופט </w:t>
      </w:r>
      <w:r w:rsidRPr="003578BD">
        <w:rPr>
          <w:rFonts w:ascii="Century" w:hAnsi="Century" w:cs="Miriam" w:hint="cs"/>
          <w:b/>
          <w:spacing w:val="0"/>
          <w:sz w:val="22"/>
          <w:szCs w:val="24"/>
          <w:rtl/>
        </w:rPr>
        <w:t xml:space="preserve">ע' </w:t>
      </w:r>
      <w:proofErr w:type="spellStart"/>
      <w:r w:rsidRPr="003578BD">
        <w:rPr>
          <w:rFonts w:ascii="Century" w:hAnsi="Century" w:cs="Miriam" w:hint="cs"/>
          <w:b/>
          <w:spacing w:val="0"/>
          <w:sz w:val="22"/>
          <w:szCs w:val="24"/>
          <w:rtl/>
        </w:rPr>
        <w:t>פוגלמן</w:t>
      </w:r>
      <w:proofErr w:type="spellEnd"/>
      <w:r w:rsidRPr="0028729F">
        <w:rPr>
          <w:rFonts w:hint="cs"/>
          <w:rtl/>
        </w:rPr>
        <w:t xml:space="preserve"> </w:t>
      </w:r>
      <w:r>
        <w:rPr>
          <w:rFonts w:hint="cs"/>
          <w:rtl/>
        </w:rPr>
        <w:t xml:space="preserve">בבג"ץ 1336/16 </w:t>
      </w:r>
      <w:proofErr w:type="spellStart"/>
      <w:r w:rsidRPr="009672A2">
        <w:rPr>
          <w:rFonts w:ascii="Century" w:hAnsi="Century" w:cs="Miriam" w:hint="eastAsia"/>
          <w:b/>
          <w:spacing w:val="0"/>
          <w:sz w:val="22"/>
          <w:szCs w:val="24"/>
          <w:rtl/>
        </w:rPr>
        <w:t>אטרש</w:t>
      </w:r>
      <w:proofErr w:type="spellEnd"/>
      <w:r w:rsidRPr="009672A2">
        <w:rPr>
          <w:rFonts w:ascii="Century" w:hAnsi="Century" w:cs="Miriam"/>
          <w:b/>
          <w:spacing w:val="0"/>
          <w:sz w:val="22"/>
          <w:szCs w:val="24"/>
          <w:rtl/>
        </w:rPr>
        <w:t xml:space="preserve"> נ' מפקד פיקוד העורף</w:t>
      </w:r>
      <w:r w:rsidRPr="0028729F">
        <w:rPr>
          <w:rFonts w:hint="cs"/>
          <w:rtl/>
        </w:rPr>
        <w:t xml:space="preserve"> </w:t>
      </w:r>
      <w:r>
        <w:rPr>
          <w:rFonts w:hint="cs"/>
          <w:rtl/>
        </w:rPr>
        <w:t xml:space="preserve">(3.4.2016) (להלן: </w:t>
      </w:r>
      <w:r w:rsidRPr="0021726B">
        <w:rPr>
          <w:rFonts w:ascii="Century" w:hAnsi="Century" w:cs="Miriam" w:hint="eastAsia"/>
          <w:b/>
          <w:spacing w:val="0"/>
          <w:sz w:val="22"/>
          <w:szCs w:val="24"/>
          <w:rtl/>
        </w:rPr>
        <w:t>עניין</w:t>
      </w:r>
      <w:r w:rsidRPr="0021726B">
        <w:rPr>
          <w:rFonts w:ascii="Century" w:hAnsi="Century" w:cs="Miriam"/>
          <w:b/>
          <w:spacing w:val="0"/>
          <w:sz w:val="22"/>
          <w:szCs w:val="24"/>
          <w:rtl/>
        </w:rPr>
        <w:t xml:space="preserve"> </w:t>
      </w:r>
      <w:proofErr w:type="spellStart"/>
      <w:r w:rsidRPr="0021726B">
        <w:rPr>
          <w:rFonts w:ascii="Century" w:hAnsi="Century" w:cs="Miriam" w:hint="eastAsia"/>
          <w:b/>
          <w:spacing w:val="0"/>
          <w:sz w:val="22"/>
          <w:szCs w:val="24"/>
          <w:rtl/>
        </w:rPr>
        <w:t>אטרש</w:t>
      </w:r>
      <w:proofErr w:type="spellEnd"/>
      <w:r>
        <w:rPr>
          <w:rFonts w:hint="cs"/>
          <w:rtl/>
        </w:rPr>
        <w:t xml:space="preserve">); חוות דעתה של השופטת </w:t>
      </w:r>
      <w:r>
        <w:rPr>
          <w:rFonts w:ascii="Century" w:hAnsi="Century" w:cs="Miriam" w:hint="cs"/>
          <w:b/>
          <w:spacing w:val="0"/>
          <w:sz w:val="22"/>
          <w:szCs w:val="24"/>
          <w:rtl/>
        </w:rPr>
        <w:t xml:space="preserve">ד' </w:t>
      </w:r>
      <w:r w:rsidRPr="0025756C">
        <w:rPr>
          <w:rFonts w:ascii="Century" w:hAnsi="Century" w:cs="Miriam" w:hint="cs"/>
          <w:b/>
          <w:spacing w:val="0"/>
          <w:sz w:val="22"/>
          <w:szCs w:val="24"/>
          <w:rtl/>
        </w:rPr>
        <w:t xml:space="preserve">ברק-ארז </w:t>
      </w:r>
      <w:r>
        <w:rPr>
          <w:rFonts w:hint="cs"/>
          <w:rtl/>
        </w:rPr>
        <w:t xml:space="preserve">בבג"ץ 8567/15 </w:t>
      </w:r>
      <w:r w:rsidRPr="009672A2">
        <w:rPr>
          <w:rFonts w:ascii="Century" w:hAnsi="Century" w:cs="Miriam" w:hint="eastAsia"/>
          <w:b/>
          <w:spacing w:val="0"/>
          <w:sz w:val="22"/>
          <w:szCs w:val="24"/>
          <w:rtl/>
        </w:rPr>
        <w:t>חלבי</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נ</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מפקד</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כוחות</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צה</w:t>
      </w:r>
      <w:r w:rsidRPr="009672A2">
        <w:rPr>
          <w:rFonts w:ascii="Century" w:hAnsi="Century" w:cs="Miriam"/>
          <w:b/>
          <w:spacing w:val="0"/>
          <w:sz w:val="22"/>
          <w:szCs w:val="24"/>
          <w:rtl/>
        </w:rPr>
        <w:t xml:space="preserve">"ל </w:t>
      </w:r>
      <w:r w:rsidRPr="009672A2">
        <w:rPr>
          <w:rFonts w:ascii="Century" w:hAnsi="Century" w:cs="Miriam" w:hint="eastAsia"/>
          <w:b/>
          <w:spacing w:val="0"/>
          <w:sz w:val="22"/>
          <w:szCs w:val="24"/>
          <w:rtl/>
        </w:rPr>
        <w:t>בגדה</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המערבית</w:t>
      </w:r>
      <w:r>
        <w:rPr>
          <w:rFonts w:hint="cs"/>
          <w:rtl/>
        </w:rPr>
        <w:t xml:space="preserve"> (28.12.2015)).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יחד עם זאת, מאחר שההלכה הפסוקה קבעה לא אחת כי למשיב ישנה סמכות לעשות שימוש בתקנה 119, מסתפקים השופטים הנוקטים בגישה זו ככלל בציון עמדתם, תוך קריאה לשוב ולעיין בהלכה זו מחדש בהרכב מורחב, וממקדים את הדיון במישור שיקול הדעת. </w:t>
      </w:r>
    </w:p>
    <w:p w:rsidR="00AD2F60" w:rsidRDefault="00AD2F60" w:rsidP="00AD2F60">
      <w:pPr>
        <w:pStyle w:val="Ruller4"/>
        <w:numPr>
          <w:ilvl w:val="0"/>
          <w:numId w:val="0"/>
        </w:numPr>
        <w:rPr>
          <w:rtl/>
        </w:rPr>
      </w:pPr>
    </w:p>
    <w:p w:rsidR="00AD2F60" w:rsidRDefault="00AD2F60" w:rsidP="00AD2F60">
      <w:pPr>
        <w:pStyle w:val="Ruller4"/>
      </w:pPr>
      <w:r>
        <w:rPr>
          <w:rFonts w:hint="cs"/>
          <w:rtl/>
        </w:rPr>
        <w:t xml:space="preserve">אם כן, מאחר שכאמור לעיל נקבע בעבר, ובכלל זה בפסיקה מהעת האחרונה, כי התקנה מקנה סמכות הריסה (ראו למשל: בג"ץ 1374/23 </w:t>
      </w:r>
      <w:r w:rsidRPr="009672A2">
        <w:rPr>
          <w:rFonts w:ascii="Century" w:hAnsi="Century" w:cs="Miriam" w:hint="eastAsia"/>
          <w:b/>
          <w:spacing w:val="0"/>
          <w:szCs w:val="24"/>
          <w:rtl/>
        </w:rPr>
        <w:t>צוף</w:t>
      </w:r>
      <w:r w:rsidRPr="009672A2">
        <w:rPr>
          <w:rFonts w:ascii="Century" w:hAnsi="Century" w:cs="Miriam"/>
          <w:b/>
          <w:spacing w:val="0"/>
          <w:szCs w:val="24"/>
          <w:rtl/>
        </w:rPr>
        <w:t xml:space="preserve"> נ' מפקד כוחות צה"ל </w:t>
      </w:r>
      <w:proofErr w:type="spellStart"/>
      <w:r w:rsidRPr="009672A2">
        <w:rPr>
          <w:rFonts w:ascii="Century" w:hAnsi="Century" w:cs="Miriam" w:hint="eastAsia"/>
          <w:b/>
          <w:spacing w:val="0"/>
          <w:szCs w:val="24"/>
          <w:rtl/>
        </w:rPr>
        <w:t>באיו</w:t>
      </w:r>
      <w:r w:rsidRPr="009672A2">
        <w:rPr>
          <w:rFonts w:ascii="Century" w:hAnsi="Century" w:cs="Miriam"/>
          <w:b/>
          <w:spacing w:val="0"/>
          <w:szCs w:val="24"/>
          <w:rtl/>
        </w:rPr>
        <w:t>"ש</w:t>
      </w:r>
      <w:proofErr w:type="spellEnd"/>
      <w:r w:rsidRPr="009672A2">
        <w:rPr>
          <w:rFonts w:ascii="Century" w:hAnsi="Century" w:cs="Miriam"/>
          <w:b/>
          <w:spacing w:val="0"/>
          <w:szCs w:val="24"/>
          <w:rtl/>
        </w:rPr>
        <w:t xml:space="preserve"> </w:t>
      </w:r>
      <w:r>
        <w:rPr>
          <w:rFonts w:hint="cs"/>
          <w:rtl/>
        </w:rPr>
        <w:t xml:space="preserve">(6.3.2023); עניין </w:t>
      </w:r>
      <w:r w:rsidRPr="00F111EB">
        <w:rPr>
          <w:rFonts w:ascii="Century" w:hAnsi="Century" w:cs="Miriam" w:hint="cs"/>
          <w:b/>
          <w:spacing w:val="0"/>
          <w:sz w:val="22"/>
          <w:szCs w:val="24"/>
          <w:rtl/>
        </w:rPr>
        <w:t>גמגום</w:t>
      </w:r>
      <w:r>
        <w:rPr>
          <w:rFonts w:hint="cs"/>
          <w:rtl/>
        </w:rPr>
        <w:t xml:space="preserve">), אין בדעתי במקרה דנן להביע עמדת מיעוט ביחס לעצם הסמכות לבצע הריסת בתים מכוח התקנה. אומנם, בהתאם לחוק יסוד: השפיטה, בית משפט זה אינו מחויב בהלכות שנפסקו מפיו, אך כפי שהובהר לא אחת, ישנה חשיבות לכך כי לאחר שנפסקה הלכה, ידבר בית משפט זה "בקול אחד".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מבלי לגרוע מהאמור יש לציין </w:t>
      </w:r>
      <w:r>
        <w:rPr>
          <w:rtl/>
        </w:rPr>
        <w:t>–</w:t>
      </w:r>
      <w:r>
        <w:rPr>
          <w:rFonts w:hint="cs"/>
          <w:rtl/>
        </w:rPr>
        <w:t xml:space="preserve"> כפי שפירטתי לעיל </w:t>
      </w:r>
      <w:r>
        <w:rPr>
          <w:rtl/>
        </w:rPr>
        <w:t>–</w:t>
      </w:r>
      <w:r>
        <w:rPr>
          <w:rFonts w:hint="cs"/>
          <w:rtl/>
        </w:rPr>
        <w:t xml:space="preserve"> כי ההלכה כיום אינה עולה בקנה אחד עם עמדתם של כלל שופטי בית המשפט, וישנם למצער מספר שופטים הסבורים כי יש לשוב ולבחון אותה פעם נוספת. לכן לטעמי ישנה חשיבות בתיאור העמדה המשפטית של שופטים שונים, באופן שיתכן שיצדיק ביום מן הימים בחינה </w:t>
      </w:r>
      <w:r>
        <w:rPr>
          <w:rFonts w:hint="cs"/>
          <w:rtl/>
        </w:rPr>
        <w:lastRenderedPageBreak/>
        <w:t xml:space="preserve">נוספת של השאלות כבדות המשקל העומדות בבסיס העתירות מסוג זה. אציין לכן בקצירת האומר כי אני שותפה לחלק מההסתייגויות שהובעו על ידי השופטים התומכים בגישה השנייה שפורטה </w:t>
      </w:r>
      <w:proofErr w:type="spellStart"/>
      <w:r>
        <w:rPr>
          <w:rFonts w:hint="cs"/>
          <w:rtl/>
        </w:rPr>
        <w:t>בפיסקה</w:t>
      </w:r>
      <w:proofErr w:type="spellEnd"/>
      <w:r>
        <w:rPr>
          <w:rFonts w:hint="cs"/>
          <w:rtl/>
        </w:rPr>
        <w:t xml:space="preserve"> 4 לעיל, ולעמדה לפיה נכון יהיה לשוב ולבחון את ההלכה בהרכב מורחב.  </w:t>
      </w:r>
    </w:p>
    <w:p w:rsidR="00AD2F60" w:rsidRPr="00673CD2" w:rsidRDefault="00AD2F60" w:rsidP="00AD2F60">
      <w:pPr>
        <w:pStyle w:val="Ruller41"/>
        <w:rPr>
          <w:rtl/>
        </w:rPr>
      </w:pPr>
    </w:p>
    <w:p w:rsidR="00AD2F60" w:rsidRDefault="00AD2F60" w:rsidP="00AD2F60">
      <w:pPr>
        <w:pStyle w:val="Ruller41"/>
        <w:rPr>
          <w:rtl/>
        </w:rPr>
      </w:pPr>
      <w:r>
        <w:rPr>
          <w:rtl/>
        </w:rPr>
        <w:tab/>
      </w:r>
      <w:r>
        <w:rPr>
          <w:rFonts w:hint="cs"/>
          <w:rtl/>
        </w:rPr>
        <w:t xml:space="preserve">מכל מקום, לאור האמור, פסק דין זה ייצא מנקודת הנחה כי השימוש בתקנה הוא חוקי במישור הסמכות, ואסתפק בפירוט עמדתי ביחס לשאלת המידתיות של השימוש בה </w:t>
      </w:r>
      <w:r>
        <w:rPr>
          <w:rtl/>
        </w:rPr>
        <w:t>–</w:t>
      </w:r>
      <w:r>
        <w:rPr>
          <w:rFonts w:hint="cs"/>
          <w:rtl/>
        </w:rPr>
        <w:t xml:space="preserve"> בכלל ובנסיבות המקרה דנן בפרט. </w:t>
      </w:r>
    </w:p>
    <w:p w:rsidR="00AD2F60" w:rsidRDefault="00AD2F60" w:rsidP="00AD2F60">
      <w:pPr>
        <w:pStyle w:val="Ruller41"/>
        <w:rPr>
          <w:rFonts w:ascii="Century" w:hAnsi="Century" w:cs="Miriam"/>
          <w:b/>
          <w:spacing w:val="0"/>
          <w:szCs w:val="24"/>
          <w:rtl/>
        </w:rPr>
      </w:pPr>
    </w:p>
    <w:p w:rsidR="00AD2F60" w:rsidRPr="009672A2" w:rsidRDefault="00AD2F60" w:rsidP="00AD2F60">
      <w:pPr>
        <w:pStyle w:val="Ruller41"/>
        <w:rPr>
          <w:rFonts w:ascii="Century" w:hAnsi="Century" w:cs="Miriam"/>
          <w:b/>
          <w:spacing w:val="0"/>
          <w:szCs w:val="24"/>
          <w:rtl/>
        </w:rPr>
      </w:pPr>
      <w:r w:rsidRPr="009672A2">
        <w:rPr>
          <w:rFonts w:ascii="Century" w:hAnsi="Century" w:cs="Miriam" w:hint="eastAsia"/>
          <w:b/>
          <w:spacing w:val="0"/>
          <w:szCs w:val="24"/>
          <w:rtl/>
        </w:rPr>
        <w:t>מישור</w:t>
      </w:r>
      <w:r w:rsidRPr="009672A2">
        <w:rPr>
          <w:rFonts w:ascii="Century" w:hAnsi="Century" w:cs="Miriam"/>
          <w:b/>
          <w:spacing w:val="0"/>
          <w:szCs w:val="24"/>
          <w:rtl/>
        </w:rPr>
        <w:t xml:space="preserve"> </w:t>
      </w:r>
      <w:r w:rsidRPr="009672A2">
        <w:rPr>
          <w:rFonts w:ascii="Century" w:hAnsi="Century" w:cs="Miriam" w:hint="eastAsia"/>
          <w:b/>
          <w:spacing w:val="0"/>
          <w:szCs w:val="24"/>
          <w:rtl/>
        </w:rPr>
        <w:t>שיקול</w:t>
      </w:r>
      <w:r w:rsidRPr="009672A2">
        <w:rPr>
          <w:rFonts w:ascii="Century" w:hAnsi="Century" w:cs="Miriam"/>
          <w:b/>
          <w:spacing w:val="0"/>
          <w:szCs w:val="24"/>
          <w:rtl/>
        </w:rPr>
        <w:t xml:space="preserve"> </w:t>
      </w:r>
      <w:r w:rsidRPr="009672A2">
        <w:rPr>
          <w:rFonts w:ascii="Century" w:hAnsi="Century" w:cs="Miriam" w:hint="eastAsia"/>
          <w:b/>
          <w:spacing w:val="0"/>
          <w:szCs w:val="24"/>
          <w:rtl/>
        </w:rPr>
        <w:t>הדעת</w:t>
      </w:r>
      <w:r>
        <w:rPr>
          <w:rFonts w:ascii="Century" w:hAnsi="Century" w:cs="Miriam" w:hint="cs"/>
          <w:b/>
          <w:spacing w:val="0"/>
          <w:szCs w:val="24"/>
          <w:rtl/>
        </w:rPr>
        <w:t xml:space="preserve"> </w:t>
      </w:r>
      <w:r>
        <w:rPr>
          <w:rFonts w:ascii="Century" w:hAnsi="Century" w:cs="Miriam"/>
          <w:b/>
          <w:spacing w:val="0"/>
          <w:szCs w:val="24"/>
          <w:rtl/>
        </w:rPr>
        <w:t>–</w:t>
      </w:r>
      <w:r>
        <w:rPr>
          <w:rFonts w:ascii="Century" w:hAnsi="Century" w:cs="Miriam" w:hint="cs"/>
          <w:b/>
          <w:spacing w:val="0"/>
          <w:szCs w:val="24"/>
          <w:rtl/>
        </w:rPr>
        <w:t xml:space="preserve"> מידתיות השימוש בתקנה 119 </w:t>
      </w:r>
    </w:p>
    <w:p w:rsidR="00AD2F60" w:rsidRDefault="00AD2F60" w:rsidP="00AD2F60">
      <w:pPr>
        <w:pStyle w:val="Ruller41"/>
        <w:rPr>
          <w:rtl/>
        </w:rPr>
      </w:pPr>
    </w:p>
    <w:p w:rsidR="00AD2F60" w:rsidRDefault="00AD2F60" w:rsidP="00AD2F60">
      <w:pPr>
        <w:pStyle w:val="Ruller4"/>
        <w:rPr>
          <w:rtl/>
        </w:rPr>
      </w:pPr>
      <w:r>
        <w:rPr>
          <w:rFonts w:hint="cs"/>
          <w:rtl/>
        </w:rPr>
        <w:t xml:space="preserve">כאמור, הגישה לפיה יש לפרש את סמכות ההריסה ברוח עקרונות חוק יסוד: כבוד האדם וחירותו היא עמדה מקובלת בפסיקת בית המשפט, תוך שימת דגש על ביצוע הריסות באופן העולה בקנה אחד עם עקרונות המידתיות. עקרונות אלה נועדו לשקול ולאזן בין השיקולים וההיבטים השונים. בחינה זו איננה מערערת לכן על הסמכות העקרונית לשימוש בתקנה אלא רק על יישומה, הן מבחינת הקריטריונים השונים ומשקלם והן מבחינת יישומם על עובדות המקרה המסוים הנדון. </w:t>
      </w:r>
    </w:p>
    <w:p w:rsidR="00AD2F60" w:rsidRDefault="00AD2F60" w:rsidP="00AD2F60">
      <w:pPr>
        <w:pStyle w:val="Ruller41"/>
        <w:rPr>
          <w:rtl/>
        </w:rPr>
      </w:pPr>
    </w:p>
    <w:p w:rsidR="00AD2F60" w:rsidRDefault="00AD2F60" w:rsidP="00AD2F60">
      <w:pPr>
        <w:pStyle w:val="Ruller4"/>
      </w:pPr>
      <w:r>
        <w:rPr>
          <w:rFonts w:hint="cs"/>
          <w:rtl/>
        </w:rPr>
        <w:t xml:space="preserve">השימוש בתקנה 119 צריך להתבצע תוך הפעלת שיקול דעת, כאשר אמת המידה המרכזית אותה יש לבחון היא מידתיות השימוש באמצעי זה. שאלת המידתיות צריכה להיבחן לאור האמצעי שננקט והנזק שהוא צפוי לגרום מחד גיסא; והמטרה לשמה הוא ננקט מאידך גיסא. כך, צריך להיות קשר רציונלי בין המטרה שנועדה תקנה 119 להגשים לבין האמצעי שנבחר; יש לוודא כי האמצעי שנבחר מבין אלה המגשימים את המטרה, הוא זה הפוגע בפרט במידה הקטנה ביותר האפשרית; יתרה מכך, גם כאשר ישנה התאמה בין האמצעי לבין המטרה, האמצעי צריך להיות מידתי במובן זה שיתקיים יחס ראוי בין התועלת הציבורית הצומחת מהשימוש בו לבין עוצמת הפגיעה הנגרמת מהפעלתו (זהו מבחן המידתיות במובן "הצר") (בג"ץ 1125/16 </w:t>
      </w:r>
      <w:r w:rsidRPr="00C94793">
        <w:rPr>
          <w:rFonts w:ascii="Century" w:hAnsi="Century" w:cs="Miriam" w:hint="cs"/>
          <w:b/>
          <w:spacing w:val="0"/>
          <w:szCs w:val="24"/>
          <w:rtl/>
        </w:rPr>
        <w:t>מרעי נ' מפקד כוחות הצבא בגדה המערבית</w:t>
      </w:r>
      <w:r>
        <w:rPr>
          <w:rFonts w:hint="cs"/>
          <w:rtl/>
        </w:rPr>
        <w:t xml:space="preserve">, פסקה 5 לחוות דעתה של השופטת </w:t>
      </w:r>
      <w:r w:rsidRPr="00E56C39">
        <w:rPr>
          <w:rFonts w:ascii="Century" w:hAnsi="Century" w:cs="Miriam" w:hint="eastAsia"/>
          <w:b/>
          <w:spacing w:val="0"/>
          <w:sz w:val="22"/>
          <w:szCs w:val="24"/>
          <w:rtl/>
        </w:rPr>
        <w:t>ע</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ברון</w:t>
      </w:r>
      <w:r w:rsidRPr="00C94793">
        <w:rPr>
          <w:rFonts w:hint="cs"/>
          <w:rtl/>
        </w:rPr>
        <w:t xml:space="preserve"> </w:t>
      </w:r>
      <w:r>
        <w:rPr>
          <w:rFonts w:hint="cs"/>
          <w:rtl/>
        </w:rPr>
        <w:t xml:space="preserve">(31.3.2016) (להלן: </w:t>
      </w:r>
      <w:r w:rsidRPr="009672A2">
        <w:rPr>
          <w:rFonts w:ascii="Century" w:hAnsi="Century" w:cs="Miriam" w:hint="eastAsia"/>
          <w:b/>
          <w:spacing w:val="0"/>
          <w:szCs w:val="24"/>
          <w:rtl/>
        </w:rPr>
        <w:t>עניין</w:t>
      </w:r>
      <w:r>
        <w:rPr>
          <w:rFonts w:ascii="Century" w:hAnsi="Century" w:cs="Miriam" w:hint="cs"/>
          <w:b/>
          <w:spacing w:val="0"/>
          <w:szCs w:val="24"/>
          <w:rtl/>
        </w:rPr>
        <w:t xml:space="preserve"> מרעי</w:t>
      </w:r>
      <w:r w:rsidRPr="00E56C39">
        <w:rPr>
          <w:rFonts w:ascii="Century" w:hAnsi="Century"/>
          <w:sz w:val="22"/>
          <w:rtl/>
        </w:rPr>
        <w:t>);</w:t>
      </w:r>
      <w:r>
        <w:rPr>
          <w:rFonts w:hint="cs"/>
          <w:rtl/>
        </w:rPr>
        <w:t xml:space="preserve"> בג"ץ 1938/16 </w:t>
      </w:r>
      <w:r w:rsidRPr="00E56C39">
        <w:rPr>
          <w:rFonts w:ascii="Century" w:hAnsi="Century" w:cs="Miriam" w:hint="eastAsia"/>
          <w:b/>
          <w:spacing w:val="0"/>
          <w:sz w:val="22"/>
          <w:szCs w:val="24"/>
          <w:rtl/>
        </w:rPr>
        <w:t>אלרוב</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נ</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מפקד</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כוחות</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צה</w:t>
      </w:r>
      <w:r w:rsidRPr="00E56C39">
        <w:rPr>
          <w:rFonts w:ascii="Century" w:hAnsi="Century" w:cs="Miriam"/>
          <w:b/>
          <w:spacing w:val="0"/>
          <w:sz w:val="22"/>
          <w:szCs w:val="24"/>
          <w:rtl/>
        </w:rPr>
        <w:t>"</w:t>
      </w:r>
      <w:r w:rsidRPr="00E56C39">
        <w:rPr>
          <w:rFonts w:ascii="Century" w:hAnsi="Century" w:cs="Miriam" w:hint="eastAsia"/>
          <w:b/>
          <w:spacing w:val="0"/>
          <w:sz w:val="22"/>
          <w:szCs w:val="24"/>
          <w:rtl/>
        </w:rPr>
        <w:t>ל</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בגדה</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המערבית</w:t>
      </w:r>
      <w:r>
        <w:rPr>
          <w:rFonts w:hint="cs"/>
          <w:rtl/>
        </w:rPr>
        <w:t xml:space="preserve">, פסקה ח' לפסק דינו של המשנה לנשיאה </w:t>
      </w:r>
      <w:r w:rsidRPr="0021726B">
        <w:rPr>
          <w:rFonts w:ascii="Century" w:hAnsi="Century" w:cs="Miriam" w:hint="eastAsia"/>
          <w:b/>
          <w:spacing w:val="0"/>
          <w:sz w:val="22"/>
          <w:szCs w:val="24"/>
          <w:rtl/>
        </w:rPr>
        <w:t>א</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רובינשטיין</w:t>
      </w:r>
      <w:r w:rsidRPr="002F2FBC">
        <w:rPr>
          <w:rFonts w:hint="cs"/>
          <w:rtl/>
        </w:rPr>
        <w:t xml:space="preserve"> </w:t>
      </w:r>
      <w:r>
        <w:rPr>
          <w:rFonts w:hint="cs"/>
          <w:rtl/>
        </w:rPr>
        <w:t xml:space="preserve">(24.3.2016)). </w:t>
      </w:r>
    </w:p>
    <w:p w:rsidR="00AD2F60" w:rsidRDefault="00AD2F60" w:rsidP="00AD2F60">
      <w:pPr>
        <w:pStyle w:val="Ruller4"/>
        <w:numPr>
          <w:ilvl w:val="0"/>
          <w:numId w:val="0"/>
        </w:numPr>
      </w:pPr>
    </w:p>
    <w:p w:rsidR="00AD2F60" w:rsidRDefault="00AD2F60" w:rsidP="00AD2F60">
      <w:pPr>
        <w:pStyle w:val="Ruller4"/>
        <w:numPr>
          <w:ilvl w:val="0"/>
          <w:numId w:val="0"/>
        </w:numPr>
        <w:rPr>
          <w:rtl/>
        </w:rPr>
      </w:pPr>
      <w:r>
        <w:rPr>
          <w:rtl/>
        </w:rPr>
        <w:tab/>
      </w:r>
      <w:r>
        <w:rPr>
          <w:rFonts w:hint="cs"/>
          <w:rtl/>
        </w:rPr>
        <w:t>בפסיקה נקבעו זה מכבר אמות מידה לבחינת מידתיות השימוש באמצעי של הריסת בתים במקרים קונקרטיים, ובהם בין היתר: המצב הביטחונ</w:t>
      </w:r>
      <w:r>
        <w:rPr>
          <w:rFonts w:hint="eastAsia"/>
          <w:rtl/>
        </w:rPr>
        <w:t>י</w:t>
      </w:r>
      <w:r>
        <w:rPr>
          <w:rFonts w:hint="cs"/>
          <w:rtl/>
        </w:rPr>
        <w:t xml:space="preserve"> והצורך בהתרעה; חומרת המעשה שביצע המפגע; עוצמת הראיות כנגדו; זיקת המגורים של המפגע לבית; </w:t>
      </w:r>
      <w:r>
        <w:rPr>
          <w:rFonts w:hint="cs"/>
          <w:rtl/>
        </w:rPr>
        <w:lastRenderedPageBreak/>
        <w:t xml:space="preserve">מספרם ומאפייניהם של יתר בני הבית והפגיעה הצפויה בהם כתוצאה מההריסה; ומידת מעורבותם של יתר דיירי הבית בפיגוע (ראו למשל: עניין </w:t>
      </w:r>
      <w:proofErr w:type="spellStart"/>
      <w:r w:rsidRPr="009672A2">
        <w:rPr>
          <w:rFonts w:ascii="Century" w:hAnsi="Century" w:cs="Miriam" w:hint="eastAsia"/>
          <w:b/>
          <w:spacing w:val="0"/>
          <w:sz w:val="22"/>
          <w:szCs w:val="24"/>
          <w:rtl/>
        </w:rPr>
        <w:t>קואסמה</w:t>
      </w:r>
      <w:proofErr w:type="spellEnd"/>
      <w:r>
        <w:rPr>
          <w:rFonts w:hint="cs"/>
          <w:rtl/>
        </w:rPr>
        <w:t xml:space="preserve">, פסקה 22 לפסק דינו של השופט </w:t>
      </w:r>
      <w:r>
        <w:rPr>
          <w:rFonts w:ascii="Century" w:hAnsi="Century" w:cs="Miriam" w:hint="cs"/>
          <w:b/>
          <w:spacing w:val="0"/>
          <w:sz w:val="22"/>
          <w:szCs w:val="24"/>
          <w:rtl/>
        </w:rPr>
        <w:t xml:space="preserve">י' </w:t>
      </w:r>
      <w:proofErr w:type="spellStart"/>
      <w:r w:rsidRPr="002F1956">
        <w:rPr>
          <w:rFonts w:ascii="Century" w:hAnsi="Century" w:cs="Miriam" w:hint="cs"/>
          <w:b/>
          <w:spacing w:val="0"/>
          <w:sz w:val="22"/>
          <w:szCs w:val="24"/>
          <w:rtl/>
        </w:rPr>
        <w:t>דנציגר</w:t>
      </w:r>
      <w:proofErr w:type="spellEnd"/>
      <w:r>
        <w:rPr>
          <w:rFonts w:hint="cs"/>
          <w:rtl/>
        </w:rPr>
        <w:t xml:space="preserve">; עניין </w:t>
      </w:r>
      <w:r w:rsidRPr="009672A2">
        <w:rPr>
          <w:rFonts w:ascii="Century" w:hAnsi="Century" w:cs="Miriam" w:hint="eastAsia"/>
          <w:b/>
          <w:spacing w:val="0"/>
          <w:sz w:val="22"/>
          <w:szCs w:val="24"/>
          <w:rtl/>
        </w:rPr>
        <w:t>המוקד</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להגנת</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הפרט</w:t>
      </w:r>
      <w:r w:rsidRPr="009672A2">
        <w:rPr>
          <w:rFonts w:ascii="Century" w:hAnsi="Century" w:cs="Miriam"/>
          <w:b/>
          <w:spacing w:val="0"/>
          <w:sz w:val="22"/>
          <w:szCs w:val="24"/>
          <w:rtl/>
        </w:rPr>
        <w:t>,</w:t>
      </w:r>
      <w:r>
        <w:rPr>
          <w:rFonts w:hint="cs"/>
          <w:rtl/>
        </w:rPr>
        <w:t xml:space="preserve"> פסקה יח' לפסק דינו של השופט </w:t>
      </w:r>
      <w:r>
        <w:rPr>
          <w:rFonts w:ascii="Century" w:hAnsi="Century" w:cs="Miriam" w:hint="cs"/>
          <w:b/>
          <w:spacing w:val="0"/>
          <w:sz w:val="22"/>
          <w:szCs w:val="24"/>
          <w:rtl/>
        </w:rPr>
        <w:t xml:space="preserve">א' </w:t>
      </w:r>
      <w:r w:rsidRPr="002F1956">
        <w:rPr>
          <w:rFonts w:ascii="Century" w:hAnsi="Century" w:cs="Miriam" w:hint="cs"/>
          <w:b/>
          <w:spacing w:val="0"/>
          <w:sz w:val="22"/>
          <w:szCs w:val="24"/>
          <w:rtl/>
        </w:rPr>
        <w:t>רובינשטיין</w:t>
      </w:r>
      <w:r>
        <w:rPr>
          <w:rFonts w:ascii="Century" w:hAnsi="Century" w:cs="Miriam" w:hint="cs"/>
          <w:b/>
          <w:spacing w:val="0"/>
          <w:sz w:val="22"/>
          <w:szCs w:val="24"/>
          <w:rtl/>
        </w:rPr>
        <w:t xml:space="preserve">; </w:t>
      </w:r>
      <w:r>
        <w:rPr>
          <w:rFonts w:hint="cs"/>
          <w:rtl/>
        </w:rPr>
        <w:t xml:space="preserve">בג"ץ 4597/14 </w:t>
      </w:r>
      <w:proofErr w:type="spellStart"/>
      <w:r w:rsidRPr="00E56C39">
        <w:rPr>
          <w:rFonts w:ascii="Century" w:hAnsi="Century" w:cs="Miriam" w:hint="eastAsia"/>
          <w:b/>
          <w:spacing w:val="0"/>
          <w:szCs w:val="24"/>
          <w:rtl/>
        </w:rPr>
        <w:t>עואודה</w:t>
      </w:r>
      <w:proofErr w:type="spellEnd"/>
      <w:r w:rsidRPr="00E56C39">
        <w:rPr>
          <w:rFonts w:ascii="Century" w:hAnsi="Century" w:cs="Miriam"/>
          <w:b/>
          <w:spacing w:val="0"/>
          <w:szCs w:val="24"/>
          <w:rtl/>
        </w:rPr>
        <w:t xml:space="preserve"> </w:t>
      </w:r>
      <w:r w:rsidRPr="00E56C39">
        <w:rPr>
          <w:rFonts w:ascii="Century" w:hAnsi="Century" w:cs="Miriam" w:hint="eastAsia"/>
          <w:b/>
          <w:spacing w:val="0"/>
          <w:szCs w:val="24"/>
          <w:rtl/>
        </w:rPr>
        <w:t>נ</w:t>
      </w:r>
      <w:r w:rsidRPr="00E56C39">
        <w:rPr>
          <w:rFonts w:ascii="Century" w:hAnsi="Century" w:cs="Miriam"/>
          <w:b/>
          <w:spacing w:val="0"/>
          <w:szCs w:val="24"/>
          <w:rtl/>
        </w:rPr>
        <w:t xml:space="preserve">' </w:t>
      </w:r>
      <w:r w:rsidRPr="00E56C39">
        <w:rPr>
          <w:rFonts w:ascii="Century" w:hAnsi="Century" w:cs="Miriam" w:hint="eastAsia"/>
          <w:b/>
          <w:spacing w:val="0"/>
          <w:szCs w:val="24"/>
          <w:rtl/>
        </w:rPr>
        <w:t>המפקד</w:t>
      </w:r>
      <w:r w:rsidRPr="00E56C39">
        <w:rPr>
          <w:rFonts w:ascii="Century" w:hAnsi="Century" w:cs="Miriam"/>
          <w:b/>
          <w:spacing w:val="0"/>
          <w:szCs w:val="24"/>
          <w:rtl/>
        </w:rPr>
        <w:t xml:space="preserve"> </w:t>
      </w:r>
      <w:r w:rsidRPr="00E56C39">
        <w:rPr>
          <w:rFonts w:ascii="Century" w:hAnsi="Century" w:cs="Miriam" w:hint="eastAsia"/>
          <w:b/>
          <w:spacing w:val="0"/>
          <w:szCs w:val="24"/>
          <w:rtl/>
        </w:rPr>
        <w:t>הצבאי</w:t>
      </w:r>
      <w:r w:rsidRPr="00E56C39">
        <w:rPr>
          <w:rFonts w:ascii="Century" w:hAnsi="Century" w:cs="Miriam"/>
          <w:b/>
          <w:spacing w:val="0"/>
          <w:szCs w:val="24"/>
          <w:rtl/>
        </w:rPr>
        <w:t xml:space="preserve"> </w:t>
      </w:r>
      <w:r w:rsidRPr="00E56C39">
        <w:rPr>
          <w:rFonts w:ascii="Century" w:hAnsi="Century" w:cs="Miriam" w:hint="eastAsia"/>
          <w:b/>
          <w:spacing w:val="0"/>
          <w:szCs w:val="24"/>
          <w:rtl/>
        </w:rPr>
        <w:t>לאזור</w:t>
      </w:r>
      <w:r w:rsidRPr="00E56C39">
        <w:rPr>
          <w:rFonts w:ascii="Century" w:hAnsi="Century" w:cs="Miriam"/>
          <w:b/>
          <w:spacing w:val="0"/>
          <w:szCs w:val="24"/>
          <w:rtl/>
        </w:rPr>
        <w:t xml:space="preserve"> </w:t>
      </w:r>
      <w:r w:rsidRPr="00E56C39">
        <w:rPr>
          <w:rFonts w:ascii="Century" w:hAnsi="Century" w:cs="Miriam" w:hint="eastAsia"/>
          <w:b/>
          <w:spacing w:val="0"/>
          <w:szCs w:val="24"/>
          <w:rtl/>
        </w:rPr>
        <w:t>הגדה</w:t>
      </w:r>
      <w:r w:rsidRPr="00E56C39">
        <w:rPr>
          <w:rFonts w:ascii="Century" w:hAnsi="Century" w:cs="Miriam"/>
          <w:b/>
          <w:spacing w:val="0"/>
          <w:szCs w:val="24"/>
          <w:rtl/>
        </w:rPr>
        <w:t xml:space="preserve"> </w:t>
      </w:r>
      <w:r w:rsidRPr="00E56C39">
        <w:rPr>
          <w:rFonts w:ascii="Century" w:hAnsi="Century" w:cs="Miriam" w:hint="eastAsia"/>
          <w:b/>
          <w:spacing w:val="0"/>
          <w:szCs w:val="24"/>
          <w:rtl/>
        </w:rPr>
        <w:t>המערבית</w:t>
      </w:r>
      <w:r>
        <w:rPr>
          <w:rFonts w:hint="cs"/>
          <w:rtl/>
        </w:rPr>
        <w:t xml:space="preserve">, בפסקאות 18-17 (1.7.2014) (להלן: עניין </w:t>
      </w:r>
      <w:proofErr w:type="spellStart"/>
      <w:r w:rsidRPr="0021726B">
        <w:rPr>
          <w:rFonts w:ascii="Century" w:hAnsi="Century" w:cs="Miriam" w:hint="eastAsia"/>
          <w:b/>
          <w:spacing w:val="0"/>
          <w:sz w:val="22"/>
          <w:szCs w:val="24"/>
          <w:rtl/>
        </w:rPr>
        <w:t>עואודה</w:t>
      </w:r>
      <w:proofErr w:type="spellEnd"/>
      <w:r>
        <w:rPr>
          <w:rFonts w:hint="cs"/>
          <w:rtl/>
        </w:rPr>
        <w:t xml:space="preserve">; </w:t>
      </w:r>
      <w:r w:rsidRPr="00DD2D41">
        <w:rPr>
          <w:rFonts w:hint="eastAsia"/>
          <w:rtl/>
        </w:rPr>
        <w:t>בג</w:t>
      </w:r>
      <w:r w:rsidRPr="00DD2D41">
        <w:rPr>
          <w:rtl/>
        </w:rPr>
        <w:t>"</w:t>
      </w:r>
      <w:r w:rsidRPr="00DD2D41">
        <w:rPr>
          <w:rFonts w:hint="eastAsia"/>
          <w:rtl/>
        </w:rPr>
        <w:t>ץ</w:t>
      </w:r>
      <w:r w:rsidRPr="00DD2D41">
        <w:rPr>
          <w:rtl/>
        </w:rPr>
        <w:t xml:space="preserve"> 2722</w:t>
      </w:r>
      <w:r>
        <w:rPr>
          <w:rFonts w:hint="cs"/>
          <w:rtl/>
        </w:rPr>
        <w:t>/</w:t>
      </w:r>
      <w:r w:rsidRPr="00DD2D41">
        <w:rPr>
          <w:rtl/>
        </w:rPr>
        <w:t xml:space="preserve">92 </w:t>
      </w:r>
      <w:proofErr w:type="spellStart"/>
      <w:r w:rsidRPr="0021726B">
        <w:rPr>
          <w:rFonts w:ascii="Century" w:hAnsi="Century" w:cs="Miriam" w:hint="eastAsia"/>
          <w:b/>
          <w:spacing w:val="0"/>
          <w:sz w:val="22"/>
          <w:szCs w:val="24"/>
          <w:rtl/>
        </w:rPr>
        <w:t>אלעמרין</w:t>
      </w:r>
      <w:proofErr w:type="spellEnd"/>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נ</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מפקד</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כוחות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צה</w:t>
      </w:r>
      <w:r w:rsidRPr="0021726B">
        <w:rPr>
          <w:rFonts w:ascii="Century" w:hAnsi="Century" w:cs="Miriam"/>
          <w:b/>
          <w:spacing w:val="0"/>
          <w:sz w:val="22"/>
          <w:szCs w:val="24"/>
          <w:rtl/>
        </w:rPr>
        <w:t>"</w:t>
      </w:r>
      <w:r w:rsidRPr="0021726B">
        <w:rPr>
          <w:rFonts w:ascii="Century" w:hAnsi="Century" w:cs="Miriam" w:hint="eastAsia"/>
          <w:b/>
          <w:spacing w:val="0"/>
          <w:sz w:val="22"/>
          <w:szCs w:val="24"/>
          <w:rtl/>
        </w:rPr>
        <w:t>ל</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ברצועת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עזה</w:t>
      </w:r>
      <w:r w:rsidRPr="00DD2D41">
        <w:rPr>
          <w:rtl/>
        </w:rPr>
        <w:t>,</w:t>
      </w:r>
      <w:r>
        <w:rPr>
          <w:rFonts w:hint="cs"/>
          <w:rtl/>
        </w:rPr>
        <w:t xml:space="preserve"> פ"ד</w:t>
      </w:r>
      <w:r w:rsidRPr="00DD2D41">
        <w:rPr>
          <w:rtl/>
        </w:rPr>
        <w:t xml:space="preserve"> </w:t>
      </w:r>
      <w:r w:rsidRPr="00DD2D41">
        <w:rPr>
          <w:rFonts w:hint="eastAsia"/>
          <w:rtl/>
        </w:rPr>
        <w:t>מו</w:t>
      </w:r>
      <w:r w:rsidRPr="00DD2D41">
        <w:rPr>
          <w:rtl/>
        </w:rPr>
        <w:t>(3) 693</w:t>
      </w:r>
      <w:r>
        <w:rPr>
          <w:rFonts w:hint="cs"/>
          <w:rtl/>
        </w:rPr>
        <w:t xml:space="preserve">, 700-699 (1992)). ואולם, גם נושא זה מעורר שאלות עקרוניות שונות, כאשר נראה כי המחלוקת העיקרית נוגעת למשקלה היחסי של כל אמת מידה. </w:t>
      </w:r>
    </w:p>
    <w:p w:rsidR="00AD2F60" w:rsidRDefault="00AD2F60" w:rsidP="00AD2F60">
      <w:pPr>
        <w:pStyle w:val="Ruller4"/>
        <w:numPr>
          <w:ilvl w:val="0"/>
          <w:numId w:val="0"/>
        </w:numPr>
        <w:rPr>
          <w:rtl/>
        </w:rPr>
      </w:pPr>
    </w:p>
    <w:p w:rsidR="00AD2F60" w:rsidRDefault="00AD2F60" w:rsidP="00AD2F60">
      <w:pPr>
        <w:pStyle w:val="Ruller4"/>
        <w:numPr>
          <w:ilvl w:val="0"/>
          <w:numId w:val="0"/>
        </w:numPr>
      </w:pPr>
      <w:r>
        <w:rPr>
          <w:rtl/>
        </w:rPr>
        <w:tab/>
      </w:r>
      <w:r>
        <w:rPr>
          <w:rFonts w:hint="cs"/>
          <w:rtl/>
        </w:rPr>
        <w:t>הסוגיה העיקרית הרלוונטית לעניינו היא בשאלה האם שימוש בתקנה כאשר המבנה משמש גם את בני משפחת המפגע אשר לא היו מעורבים באירוע ולא היו מודעים לכוונותיו, עומדת במבחן המידתיות במובן הצר. משכך, אתייחס להלן לשיקול זה בהרחבה ולאחר מכן אעמוד בקצרה על יתר השיקולים שיש להביא בחשבון במסגרת יישום התקנה. לבסוף אפנה לבחון את יישום כלל הקריטריונים על עובדות המקרה שלפנינו.</w:t>
      </w:r>
    </w:p>
    <w:p w:rsidR="00AD2F60" w:rsidRDefault="00AD2F60" w:rsidP="00AD2F60">
      <w:pPr>
        <w:pStyle w:val="Ruller4"/>
        <w:numPr>
          <w:ilvl w:val="0"/>
          <w:numId w:val="0"/>
        </w:numPr>
        <w:rPr>
          <w:rtl/>
        </w:rPr>
      </w:pPr>
    </w:p>
    <w:p w:rsidR="00AD2F60" w:rsidRPr="00DD6AC8" w:rsidRDefault="00AD2F60" w:rsidP="00AD2F60">
      <w:pPr>
        <w:pStyle w:val="Ruller41"/>
        <w:rPr>
          <w:rFonts w:ascii="Century" w:hAnsi="Century" w:cs="Miriam"/>
          <w:b/>
          <w:spacing w:val="0"/>
          <w:szCs w:val="24"/>
          <w:rtl/>
        </w:rPr>
      </w:pPr>
      <w:r w:rsidRPr="00DD6AC8">
        <w:rPr>
          <w:rFonts w:ascii="Century" w:hAnsi="Century" w:cs="Miriam" w:hint="eastAsia"/>
          <w:b/>
          <w:spacing w:val="0"/>
          <w:szCs w:val="24"/>
          <w:rtl/>
        </w:rPr>
        <w:t>מעורבותם</w:t>
      </w:r>
      <w:r w:rsidRPr="00DD6AC8">
        <w:rPr>
          <w:rFonts w:ascii="Century" w:hAnsi="Century" w:cs="Miriam"/>
          <w:b/>
          <w:spacing w:val="0"/>
          <w:szCs w:val="24"/>
          <w:rtl/>
        </w:rPr>
        <w:t xml:space="preserve"> </w:t>
      </w:r>
      <w:r w:rsidRPr="00DD6AC8">
        <w:rPr>
          <w:rFonts w:ascii="Century" w:hAnsi="Century" w:cs="Miriam" w:hint="eastAsia"/>
          <w:b/>
          <w:spacing w:val="0"/>
          <w:szCs w:val="24"/>
          <w:rtl/>
        </w:rPr>
        <w:t>של</w:t>
      </w:r>
      <w:r w:rsidRPr="00DD6AC8">
        <w:rPr>
          <w:rFonts w:ascii="Century" w:hAnsi="Century" w:cs="Miriam"/>
          <w:b/>
          <w:spacing w:val="0"/>
          <w:szCs w:val="24"/>
          <w:rtl/>
        </w:rPr>
        <w:t xml:space="preserve"> </w:t>
      </w:r>
      <w:r w:rsidRPr="00DD6AC8">
        <w:rPr>
          <w:rFonts w:ascii="Century" w:hAnsi="Century" w:cs="Miriam" w:hint="eastAsia"/>
          <w:b/>
          <w:spacing w:val="0"/>
          <w:szCs w:val="24"/>
          <w:rtl/>
        </w:rPr>
        <w:t>יתר</w:t>
      </w:r>
      <w:r w:rsidRPr="00DD6AC8">
        <w:rPr>
          <w:rFonts w:ascii="Century" w:hAnsi="Century" w:cs="Miriam"/>
          <w:b/>
          <w:spacing w:val="0"/>
          <w:szCs w:val="24"/>
          <w:rtl/>
        </w:rPr>
        <w:t xml:space="preserve"> </w:t>
      </w:r>
      <w:r w:rsidRPr="00DD6AC8">
        <w:rPr>
          <w:rFonts w:ascii="Century" w:hAnsi="Century" w:cs="Miriam" w:hint="eastAsia"/>
          <w:b/>
          <w:spacing w:val="0"/>
          <w:szCs w:val="24"/>
          <w:rtl/>
        </w:rPr>
        <w:t>דיירי</w:t>
      </w:r>
      <w:r w:rsidRPr="00DD6AC8">
        <w:rPr>
          <w:rFonts w:ascii="Century" w:hAnsi="Century" w:cs="Miriam"/>
          <w:b/>
          <w:spacing w:val="0"/>
          <w:szCs w:val="24"/>
          <w:rtl/>
        </w:rPr>
        <w:t xml:space="preserve"> </w:t>
      </w:r>
      <w:r w:rsidRPr="00DD6AC8">
        <w:rPr>
          <w:rFonts w:ascii="Century" w:hAnsi="Century" w:cs="Miriam" w:hint="eastAsia"/>
          <w:b/>
          <w:spacing w:val="0"/>
          <w:szCs w:val="24"/>
          <w:rtl/>
        </w:rPr>
        <w:t>הבית</w:t>
      </w:r>
      <w:r w:rsidRPr="00DD6AC8">
        <w:rPr>
          <w:rFonts w:ascii="Century" w:hAnsi="Century" w:cs="Miriam"/>
          <w:b/>
          <w:spacing w:val="0"/>
          <w:szCs w:val="24"/>
          <w:rtl/>
        </w:rPr>
        <w:t xml:space="preserve"> </w:t>
      </w:r>
      <w:r>
        <w:rPr>
          <w:rFonts w:ascii="Century" w:hAnsi="Century" w:cs="Miriam" w:hint="cs"/>
          <w:b/>
          <w:spacing w:val="0"/>
          <w:szCs w:val="24"/>
          <w:rtl/>
        </w:rPr>
        <w:t>בביצוע</w:t>
      </w:r>
      <w:r w:rsidRPr="00DD6AC8">
        <w:rPr>
          <w:rFonts w:ascii="Century" w:hAnsi="Century" w:cs="Miriam"/>
          <w:b/>
          <w:spacing w:val="0"/>
          <w:szCs w:val="24"/>
          <w:rtl/>
        </w:rPr>
        <w:t xml:space="preserve"> </w:t>
      </w:r>
      <w:r w:rsidRPr="00DD6AC8">
        <w:rPr>
          <w:rFonts w:ascii="Century" w:hAnsi="Century" w:cs="Miriam" w:hint="eastAsia"/>
          <w:b/>
          <w:spacing w:val="0"/>
          <w:szCs w:val="24"/>
          <w:rtl/>
        </w:rPr>
        <w:t>ה</w:t>
      </w:r>
      <w:r>
        <w:rPr>
          <w:rFonts w:ascii="Century" w:hAnsi="Century" w:cs="Miriam" w:hint="cs"/>
          <w:b/>
          <w:spacing w:val="0"/>
          <w:szCs w:val="24"/>
          <w:rtl/>
        </w:rPr>
        <w:t>פיגוע</w:t>
      </w:r>
    </w:p>
    <w:p w:rsidR="00AD2F60" w:rsidRPr="0067312E" w:rsidRDefault="00AD2F60" w:rsidP="00AD2F60">
      <w:pPr>
        <w:pStyle w:val="Ruller41"/>
        <w:rPr>
          <w:rtl/>
        </w:rPr>
      </w:pPr>
    </w:p>
    <w:p w:rsidR="00AD2F60" w:rsidRDefault="00AD2F60" w:rsidP="00AD2F60">
      <w:pPr>
        <w:pStyle w:val="Ruller4"/>
        <w:rPr>
          <w:rtl/>
        </w:rPr>
      </w:pPr>
      <w:r>
        <w:rPr>
          <w:rFonts w:hint="cs"/>
          <w:rtl/>
        </w:rPr>
        <w:t xml:space="preserve">בהתייחס למשקלו של שיקול זה, ניתן למצוא בפסיקה מספר גישות. </w:t>
      </w:r>
      <w:r w:rsidRPr="002E6E27">
        <w:rPr>
          <w:rFonts w:ascii="Century" w:hAnsi="Century" w:cs="Miriam" w:hint="cs"/>
          <w:b/>
          <w:spacing w:val="0"/>
          <w:sz w:val="22"/>
          <w:szCs w:val="24"/>
          <w:rtl/>
        </w:rPr>
        <w:t>גישה אחת</w:t>
      </w:r>
      <w:r>
        <w:rPr>
          <w:rFonts w:hint="cs"/>
          <w:rtl/>
        </w:rPr>
        <w:t>, שהיא ההלכה הפסוקה הנוהגת היום, היא כי מודעות או מעורבות בני המשפחה במעשי המפגע מהווה אומנם אחד מהשיקולים שיש לשקול כחלק ממבחן המידתיות, והיא עשויה להשפיע על היקף צו ההריסה, אך היא אינה מהווה שיקול המכריע את הכף (</w:t>
      </w:r>
      <w:proofErr w:type="spellStart"/>
      <w:r>
        <w:rPr>
          <w:rFonts w:hint="cs"/>
          <w:rtl/>
        </w:rPr>
        <w:t>דנג"ץ</w:t>
      </w:r>
      <w:proofErr w:type="spellEnd"/>
      <w:r>
        <w:rPr>
          <w:rFonts w:hint="cs"/>
          <w:rtl/>
        </w:rPr>
        <w:t xml:space="preserve"> 5924/20 </w:t>
      </w:r>
      <w:r w:rsidRPr="009672A2">
        <w:rPr>
          <w:rFonts w:ascii="Century" w:hAnsi="Century" w:cs="Miriam" w:hint="eastAsia"/>
          <w:b/>
          <w:spacing w:val="0"/>
          <w:szCs w:val="24"/>
          <w:rtl/>
        </w:rPr>
        <w:t>המפקד</w:t>
      </w:r>
      <w:r w:rsidRPr="009672A2">
        <w:rPr>
          <w:rFonts w:ascii="Century" w:hAnsi="Century" w:cs="Miriam"/>
          <w:b/>
          <w:spacing w:val="0"/>
          <w:szCs w:val="24"/>
          <w:rtl/>
        </w:rPr>
        <w:t xml:space="preserve"> </w:t>
      </w:r>
      <w:r w:rsidRPr="009672A2">
        <w:rPr>
          <w:rFonts w:ascii="Century" w:hAnsi="Century" w:cs="Miriam" w:hint="eastAsia"/>
          <w:b/>
          <w:spacing w:val="0"/>
          <w:szCs w:val="24"/>
          <w:rtl/>
        </w:rPr>
        <w:t>הצבאי</w:t>
      </w:r>
      <w:r w:rsidRPr="009672A2">
        <w:rPr>
          <w:rFonts w:ascii="Century" w:hAnsi="Century" w:cs="Miriam"/>
          <w:b/>
          <w:spacing w:val="0"/>
          <w:szCs w:val="24"/>
          <w:rtl/>
        </w:rPr>
        <w:t xml:space="preserve"> </w:t>
      </w:r>
      <w:r w:rsidRPr="009672A2">
        <w:rPr>
          <w:rFonts w:ascii="Century" w:hAnsi="Century" w:cs="Miriam" w:hint="eastAsia"/>
          <w:b/>
          <w:spacing w:val="0"/>
          <w:szCs w:val="24"/>
          <w:rtl/>
        </w:rPr>
        <w:t>לאזור</w:t>
      </w:r>
      <w:r w:rsidRPr="009672A2">
        <w:rPr>
          <w:rFonts w:ascii="Century" w:hAnsi="Century" w:cs="Miriam"/>
          <w:b/>
          <w:spacing w:val="0"/>
          <w:szCs w:val="24"/>
          <w:rtl/>
        </w:rPr>
        <w:t xml:space="preserve"> </w:t>
      </w:r>
      <w:r w:rsidRPr="009672A2">
        <w:rPr>
          <w:rFonts w:ascii="Century" w:hAnsi="Century" w:cs="Miriam" w:hint="eastAsia"/>
          <w:b/>
          <w:spacing w:val="0"/>
          <w:szCs w:val="24"/>
          <w:rtl/>
        </w:rPr>
        <w:t>יהודה</w:t>
      </w:r>
      <w:r w:rsidRPr="009672A2">
        <w:rPr>
          <w:rFonts w:ascii="Century" w:hAnsi="Century" w:cs="Miriam"/>
          <w:b/>
          <w:spacing w:val="0"/>
          <w:szCs w:val="24"/>
          <w:rtl/>
        </w:rPr>
        <w:t xml:space="preserve"> </w:t>
      </w:r>
      <w:r w:rsidRPr="009672A2">
        <w:rPr>
          <w:rFonts w:ascii="Century" w:hAnsi="Century" w:cs="Miriam" w:hint="eastAsia"/>
          <w:b/>
          <w:spacing w:val="0"/>
          <w:szCs w:val="24"/>
          <w:rtl/>
        </w:rPr>
        <w:t>ושומרון</w:t>
      </w:r>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xml:space="preserve">' </w:t>
      </w:r>
      <w:r>
        <w:rPr>
          <w:rFonts w:ascii="Century" w:hAnsi="Century" w:cs="Miriam" w:hint="cs"/>
          <w:b/>
          <w:spacing w:val="0"/>
          <w:szCs w:val="24"/>
          <w:rtl/>
        </w:rPr>
        <w:t xml:space="preserve">אבו </w:t>
      </w:r>
      <w:proofErr w:type="spellStart"/>
      <w:r w:rsidRPr="009672A2">
        <w:rPr>
          <w:rFonts w:ascii="Century" w:hAnsi="Century" w:cs="Miriam" w:hint="eastAsia"/>
          <w:b/>
          <w:spacing w:val="0"/>
          <w:szCs w:val="24"/>
          <w:rtl/>
        </w:rPr>
        <w:t>סוהילה</w:t>
      </w:r>
      <w:proofErr w:type="spellEnd"/>
      <w:r>
        <w:rPr>
          <w:rFonts w:hint="cs"/>
          <w:rtl/>
        </w:rPr>
        <w:t xml:space="preserve">, פסקה 7 (8.10.2020); עניין </w:t>
      </w:r>
      <w:proofErr w:type="spellStart"/>
      <w:r w:rsidRPr="009672A2">
        <w:rPr>
          <w:rFonts w:ascii="Century" w:hAnsi="Century" w:cs="Miriam" w:hint="eastAsia"/>
          <w:b/>
          <w:spacing w:val="0"/>
          <w:szCs w:val="24"/>
          <w:rtl/>
        </w:rPr>
        <w:t>דויקאת</w:t>
      </w:r>
      <w:proofErr w:type="spellEnd"/>
      <w:r>
        <w:rPr>
          <w:rFonts w:hint="cs"/>
          <w:rtl/>
        </w:rPr>
        <w:t xml:space="preserve">, בפסקאות 23 ו-44; בג"ץ 751/20 </w:t>
      </w:r>
      <w:proofErr w:type="spellStart"/>
      <w:r w:rsidRPr="009672A2">
        <w:rPr>
          <w:rFonts w:ascii="Century" w:hAnsi="Century" w:cs="Miriam" w:hint="eastAsia"/>
          <w:b/>
          <w:spacing w:val="0"/>
          <w:szCs w:val="24"/>
          <w:rtl/>
        </w:rPr>
        <w:t>הנאתשה</w:t>
      </w:r>
      <w:proofErr w:type="spellEnd"/>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xml:space="preserve">' </w:t>
      </w:r>
      <w:r w:rsidRPr="009672A2">
        <w:rPr>
          <w:rFonts w:ascii="Century" w:hAnsi="Century" w:cs="Miriam" w:hint="eastAsia"/>
          <w:b/>
          <w:spacing w:val="0"/>
          <w:szCs w:val="24"/>
          <w:rtl/>
        </w:rPr>
        <w:t>המפקד</w:t>
      </w:r>
      <w:r w:rsidRPr="009672A2">
        <w:rPr>
          <w:rFonts w:ascii="Century" w:hAnsi="Century" w:cs="Miriam"/>
          <w:b/>
          <w:spacing w:val="0"/>
          <w:szCs w:val="24"/>
          <w:rtl/>
        </w:rPr>
        <w:t xml:space="preserve"> </w:t>
      </w:r>
      <w:r w:rsidRPr="009672A2">
        <w:rPr>
          <w:rFonts w:ascii="Century" w:hAnsi="Century" w:cs="Miriam" w:hint="eastAsia"/>
          <w:b/>
          <w:spacing w:val="0"/>
          <w:szCs w:val="24"/>
          <w:rtl/>
        </w:rPr>
        <w:t>הצבאי</w:t>
      </w:r>
      <w:r w:rsidRPr="009672A2">
        <w:rPr>
          <w:rFonts w:ascii="Century" w:hAnsi="Century" w:cs="Miriam"/>
          <w:b/>
          <w:spacing w:val="0"/>
          <w:szCs w:val="24"/>
          <w:rtl/>
        </w:rPr>
        <w:t xml:space="preserve"> </w:t>
      </w:r>
      <w:r w:rsidRPr="009672A2">
        <w:rPr>
          <w:rFonts w:ascii="Century" w:hAnsi="Century" w:cs="Miriam" w:hint="eastAsia"/>
          <w:b/>
          <w:spacing w:val="0"/>
          <w:szCs w:val="24"/>
          <w:rtl/>
        </w:rPr>
        <w:t>לאזור</w:t>
      </w:r>
      <w:r w:rsidRPr="009672A2">
        <w:rPr>
          <w:rFonts w:ascii="Century" w:hAnsi="Century" w:cs="Miriam"/>
          <w:b/>
          <w:spacing w:val="0"/>
          <w:szCs w:val="24"/>
          <w:rtl/>
        </w:rPr>
        <w:t xml:space="preserve"> </w:t>
      </w:r>
      <w:r w:rsidRPr="009672A2">
        <w:rPr>
          <w:rFonts w:ascii="Century" w:hAnsi="Century" w:cs="Miriam" w:hint="eastAsia"/>
          <w:b/>
          <w:spacing w:val="0"/>
          <w:szCs w:val="24"/>
          <w:rtl/>
        </w:rPr>
        <w:t>הגדה</w:t>
      </w:r>
      <w:r w:rsidRPr="009672A2">
        <w:rPr>
          <w:rFonts w:ascii="Century" w:hAnsi="Century" w:cs="Miriam"/>
          <w:b/>
          <w:spacing w:val="0"/>
          <w:szCs w:val="24"/>
          <w:rtl/>
        </w:rPr>
        <w:t xml:space="preserve"> </w:t>
      </w:r>
      <w:r w:rsidRPr="009672A2">
        <w:rPr>
          <w:rFonts w:ascii="Century" w:hAnsi="Century" w:cs="Miriam" w:hint="eastAsia"/>
          <w:b/>
          <w:spacing w:val="0"/>
          <w:szCs w:val="24"/>
          <w:rtl/>
        </w:rPr>
        <w:t>המערבית</w:t>
      </w:r>
      <w:r>
        <w:rPr>
          <w:rFonts w:hint="cs"/>
          <w:rtl/>
        </w:rPr>
        <w:t xml:space="preserve">, פסקה 15 (20.2.2020)). </w:t>
      </w:r>
    </w:p>
    <w:p w:rsidR="00AD2F60" w:rsidRDefault="00AD2F60" w:rsidP="00AD2F60">
      <w:pPr>
        <w:pStyle w:val="Ruller41"/>
        <w:rPr>
          <w:rtl/>
        </w:rPr>
      </w:pPr>
    </w:p>
    <w:p w:rsidR="00AD2F60" w:rsidRDefault="00AD2F60" w:rsidP="00AD2F60">
      <w:pPr>
        <w:pStyle w:val="Ruller41"/>
        <w:rPr>
          <w:rtl/>
        </w:rPr>
      </w:pPr>
      <w:r>
        <w:rPr>
          <w:rtl/>
        </w:rPr>
        <w:tab/>
      </w:r>
      <w:r w:rsidRPr="002E6E27">
        <w:rPr>
          <w:rFonts w:ascii="Century" w:hAnsi="Century" w:cs="Miriam" w:hint="cs"/>
          <w:b/>
          <w:spacing w:val="0"/>
          <w:szCs w:val="24"/>
          <w:rtl/>
        </w:rPr>
        <w:t>גישה שניה</w:t>
      </w:r>
      <w:r w:rsidRPr="002E6E27">
        <w:rPr>
          <w:rFonts w:hint="cs"/>
          <w:rtl/>
        </w:rPr>
        <w:t xml:space="preserve"> </w:t>
      </w:r>
      <w:r>
        <w:rPr>
          <w:rFonts w:hint="cs"/>
          <w:rtl/>
        </w:rPr>
        <w:t xml:space="preserve">היא כי הריסת ביתו של אדם שלא היה מעורב כלל בביצוע הפיגוע, אינה עומדת במבחן המידתיות ולכן אין לאשרה (ראו למשל: עמדתה של השופטת </w:t>
      </w:r>
      <w:r w:rsidRPr="00C94793">
        <w:rPr>
          <w:rFonts w:ascii="Century" w:hAnsi="Century" w:cs="Miriam" w:hint="cs"/>
          <w:b/>
          <w:spacing w:val="0"/>
          <w:szCs w:val="24"/>
          <w:rtl/>
        </w:rPr>
        <w:t>ברון</w:t>
      </w:r>
      <w:r w:rsidRPr="00C94793">
        <w:rPr>
          <w:rFonts w:hint="cs"/>
          <w:rtl/>
        </w:rPr>
        <w:t xml:space="preserve"> </w:t>
      </w:r>
      <w:r>
        <w:rPr>
          <w:rFonts w:hint="cs"/>
          <w:rtl/>
        </w:rPr>
        <w:t xml:space="preserve">בעניין </w:t>
      </w:r>
      <w:r w:rsidRPr="002B213A">
        <w:rPr>
          <w:rFonts w:ascii="Century" w:hAnsi="Century" w:cs="Miriam" w:hint="cs"/>
          <w:b/>
          <w:spacing w:val="0"/>
          <w:szCs w:val="24"/>
          <w:rtl/>
        </w:rPr>
        <w:t>מרעי</w:t>
      </w:r>
      <w:r>
        <w:rPr>
          <w:rFonts w:hint="cs"/>
          <w:rtl/>
        </w:rPr>
        <w:t xml:space="preserve">, בפסקה 6; וכן בעניין </w:t>
      </w:r>
      <w:r w:rsidRPr="002B213A">
        <w:rPr>
          <w:rFonts w:ascii="Century" w:hAnsi="Century" w:cs="Miriam" w:hint="cs"/>
          <w:b/>
          <w:spacing w:val="0"/>
          <w:szCs w:val="24"/>
          <w:rtl/>
        </w:rPr>
        <w:t>גמגום</w:t>
      </w:r>
      <w:r>
        <w:rPr>
          <w:rFonts w:hint="cs"/>
          <w:rtl/>
        </w:rPr>
        <w:t xml:space="preserve">, בפסקה 3; עמדתו של השופט </w:t>
      </w:r>
      <w:r w:rsidRPr="00B94AB5">
        <w:rPr>
          <w:rFonts w:ascii="Century" w:hAnsi="Century" w:cs="Miriam" w:hint="cs"/>
          <w:b/>
          <w:spacing w:val="0"/>
          <w:szCs w:val="24"/>
          <w:rtl/>
        </w:rPr>
        <w:t>מזוז</w:t>
      </w:r>
      <w:r>
        <w:rPr>
          <w:rFonts w:hint="cs"/>
          <w:rtl/>
        </w:rPr>
        <w:t xml:space="preserve"> בבג"ץ 8150/15</w:t>
      </w:r>
      <w:r>
        <w:rPr>
          <w:rFonts w:ascii="Century" w:hAnsi="Century" w:cs="Miriam" w:hint="cs"/>
          <w:b/>
          <w:spacing w:val="0"/>
          <w:szCs w:val="24"/>
          <w:rtl/>
        </w:rPr>
        <w:t xml:space="preserve"> </w:t>
      </w:r>
      <w:r w:rsidRPr="002B213A">
        <w:rPr>
          <w:rFonts w:ascii="Century" w:hAnsi="Century" w:cs="Miriam" w:hint="cs"/>
          <w:b/>
          <w:spacing w:val="0"/>
          <w:szCs w:val="24"/>
          <w:rtl/>
        </w:rPr>
        <w:t xml:space="preserve">אבו </w:t>
      </w:r>
      <w:proofErr w:type="spellStart"/>
      <w:r w:rsidRPr="002B213A">
        <w:rPr>
          <w:rFonts w:ascii="Century" w:hAnsi="Century" w:cs="Miriam" w:hint="cs"/>
          <w:b/>
          <w:spacing w:val="0"/>
          <w:szCs w:val="24"/>
          <w:rtl/>
        </w:rPr>
        <w:t>ג'מל</w:t>
      </w:r>
      <w:proofErr w:type="spellEnd"/>
      <w:r>
        <w:rPr>
          <w:rFonts w:ascii="Century" w:hAnsi="Century" w:cs="Miriam" w:hint="cs"/>
          <w:b/>
          <w:spacing w:val="0"/>
          <w:szCs w:val="24"/>
          <w:rtl/>
        </w:rPr>
        <w:t xml:space="preserve"> נ' מפקד פיקוד העורף</w:t>
      </w:r>
      <w:r>
        <w:rPr>
          <w:rFonts w:hint="cs"/>
          <w:rtl/>
        </w:rPr>
        <w:t xml:space="preserve">, בפסקאות 14-7 (22.12.2015) (להלן: </w:t>
      </w:r>
      <w:r w:rsidRPr="00BB7480">
        <w:rPr>
          <w:rFonts w:ascii="Century" w:hAnsi="Century" w:cs="Miriam" w:hint="eastAsia"/>
          <w:b/>
          <w:spacing w:val="0"/>
          <w:szCs w:val="24"/>
          <w:rtl/>
        </w:rPr>
        <w:t>עניין</w:t>
      </w:r>
      <w:r w:rsidRPr="002F4599">
        <w:rPr>
          <w:rtl/>
        </w:rPr>
        <w:t xml:space="preserve"> </w:t>
      </w:r>
      <w:r w:rsidRPr="00E56C39">
        <w:rPr>
          <w:rFonts w:ascii="Century" w:hAnsi="Century" w:cs="Miriam" w:hint="eastAsia"/>
          <w:b/>
          <w:spacing w:val="0"/>
          <w:szCs w:val="24"/>
          <w:rtl/>
        </w:rPr>
        <w:t>אבו</w:t>
      </w:r>
      <w:r w:rsidRPr="00E56C39">
        <w:rPr>
          <w:rFonts w:ascii="Century" w:hAnsi="Century" w:cs="Miriam"/>
          <w:b/>
          <w:spacing w:val="0"/>
          <w:szCs w:val="24"/>
          <w:rtl/>
        </w:rPr>
        <w:t xml:space="preserve"> </w:t>
      </w:r>
      <w:proofErr w:type="spellStart"/>
      <w:r w:rsidRPr="00E56C39">
        <w:rPr>
          <w:rFonts w:ascii="Century" w:hAnsi="Century" w:cs="Miriam" w:hint="eastAsia"/>
          <w:b/>
          <w:spacing w:val="0"/>
          <w:szCs w:val="24"/>
          <w:rtl/>
        </w:rPr>
        <w:t>ג</w:t>
      </w:r>
      <w:r w:rsidRPr="00E56C39">
        <w:rPr>
          <w:rFonts w:ascii="Century" w:hAnsi="Century" w:cs="Miriam"/>
          <w:b/>
          <w:spacing w:val="0"/>
          <w:szCs w:val="24"/>
          <w:rtl/>
        </w:rPr>
        <w:t>'מל</w:t>
      </w:r>
      <w:proofErr w:type="spellEnd"/>
      <w:r>
        <w:rPr>
          <w:rFonts w:hint="cs"/>
          <w:rtl/>
        </w:rPr>
        <w:t xml:space="preserve">); ובפסקה 5 בעניין </w:t>
      </w:r>
      <w:proofErr w:type="spellStart"/>
      <w:r w:rsidRPr="002B213A">
        <w:rPr>
          <w:rFonts w:ascii="Century" w:hAnsi="Century" w:cs="Miriam" w:hint="cs"/>
          <w:b/>
          <w:spacing w:val="0"/>
          <w:szCs w:val="24"/>
          <w:rtl/>
        </w:rPr>
        <w:t>דויקא</w:t>
      </w:r>
      <w:proofErr w:type="spellEnd"/>
      <w:r>
        <w:rPr>
          <w:rFonts w:hint="cs"/>
          <w:rtl/>
        </w:rPr>
        <w:t xml:space="preserve">, בפסקה 3; עמדתו של השופט </w:t>
      </w:r>
      <w:r w:rsidRPr="00B94AB5">
        <w:rPr>
          <w:rFonts w:ascii="Century" w:hAnsi="Century" w:cs="Miriam" w:hint="cs"/>
          <w:b/>
          <w:spacing w:val="0"/>
          <w:szCs w:val="24"/>
          <w:rtl/>
        </w:rPr>
        <w:t>כבוב</w:t>
      </w:r>
      <w:r>
        <w:rPr>
          <w:rFonts w:hint="cs"/>
          <w:rtl/>
        </w:rPr>
        <w:t xml:space="preserve"> בבג"ץ 4088/22 </w:t>
      </w:r>
      <w:proofErr w:type="spellStart"/>
      <w:r w:rsidRPr="009672A2">
        <w:rPr>
          <w:rFonts w:ascii="Century" w:hAnsi="Century" w:cs="Miriam" w:hint="eastAsia"/>
          <w:b/>
          <w:spacing w:val="0"/>
          <w:szCs w:val="24"/>
          <w:rtl/>
        </w:rPr>
        <w:t>אלרפאעי</w:t>
      </w:r>
      <w:proofErr w:type="spellEnd"/>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xml:space="preserve">' </w:t>
      </w:r>
      <w:r w:rsidRPr="009672A2">
        <w:rPr>
          <w:rFonts w:ascii="Century" w:hAnsi="Century" w:cs="Miriam" w:hint="eastAsia"/>
          <w:b/>
          <w:spacing w:val="0"/>
          <w:szCs w:val="24"/>
          <w:rtl/>
        </w:rPr>
        <w:t>המפקד</w:t>
      </w:r>
      <w:r w:rsidRPr="009672A2">
        <w:rPr>
          <w:rFonts w:ascii="Century" w:hAnsi="Century" w:cs="Miriam"/>
          <w:b/>
          <w:spacing w:val="0"/>
          <w:szCs w:val="24"/>
          <w:rtl/>
        </w:rPr>
        <w:t xml:space="preserve"> </w:t>
      </w:r>
      <w:r w:rsidRPr="009672A2">
        <w:rPr>
          <w:rFonts w:ascii="Century" w:hAnsi="Century" w:cs="Miriam" w:hint="eastAsia"/>
          <w:b/>
          <w:spacing w:val="0"/>
          <w:szCs w:val="24"/>
          <w:rtl/>
        </w:rPr>
        <w:t>הצבאי</w:t>
      </w:r>
      <w:r w:rsidRPr="009672A2">
        <w:rPr>
          <w:rFonts w:ascii="Century" w:hAnsi="Century" w:cs="Miriam"/>
          <w:b/>
          <w:spacing w:val="0"/>
          <w:szCs w:val="24"/>
          <w:rtl/>
        </w:rPr>
        <w:t xml:space="preserve"> </w:t>
      </w:r>
      <w:r w:rsidRPr="009672A2">
        <w:rPr>
          <w:rFonts w:ascii="Century" w:hAnsi="Century" w:cs="Miriam" w:hint="eastAsia"/>
          <w:b/>
          <w:spacing w:val="0"/>
          <w:szCs w:val="24"/>
          <w:rtl/>
        </w:rPr>
        <w:t>לאזור</w:t>
      </w:r>
      <w:r w:rsidRPr="009672A2">
        <w:rPr>
          <w:rFonts w:ascii="Century" w:hAnsi="Century" w:cs="Miriam"/>
          <w:b/>
          <w:spacing w:val="0"/>
          <w:szCs w:val="24"/>
          <w:rtl/>
        </w:rPr>
        <w:t xml:space="preserve"> </w:t>
      </w:r>
      <w:r w:rsidRPr="009672A2">
        <w:rPr>
          <w:rFonts w:ascii="Century" w:hAnsi="Century" w:cs="Miriam" w:hint="eastAsia"/>
          <w:b/>
          <w:spacing w:val="0"/>
          <w:szCs w:val="24"/>
          <w:rtl/>
        </w:rPr>
        <w:t>הגדה</w:t>
      </w:r>
      <w:r w:rsidRPr="009672A2">
        <w:rPr>
          <w:rFonts w:ascii="Century" w:hAnsi="Century" w:cs="Miriam"/>
          <w:b/>
          <w:spacing w:val="0"/>
          <w:szCs w:val="24"/>
          <w:rtl/>
        </w:rPr>
        <w:t xml:space="preserve"> </w:t>
      </w:r>
      <w:r w:rsidRPr="009672A2">
        <w:rPr>
          <w:rFonts w:ascii="Century" w:hAnsi="Century" w:cs="Miriam" w:hint="eastAsia"/>
          <w:b/>
          <w:spacing w:val="0"/>
          <w:szCs w:val="24"/>
          <w:rtl/>
        </w:rPr>
        <w:t>המערבית</w:t>
      </w:r>
      <w:r>
        <w:rPr>
          <w:rFonts w:hint="cs"/>
          <w:rtl/>
        </w:rPr>
        <w:t xml:space="preserve">, בפסקאות 10-9 (7.7.2022)). </w:t>
      </w:r>
    </w:p>
    <w:p w:rsidR="00AD2F60" w:rsidRDefault="00AD2F60" w:rsidP="00AD2F60">
      <w:pPr>
        <w:pStyle w:val="Ruller41"/>
        <w:rPr>
          <w:rtl/>
        </w:rPr>
      </w:pPr>
    </w:p>
    <w:p w:rsidR="00AD2F60" w:rsidRDefault="00AD2F60" w:rsidP="00AD2F60">
      <w:pPr>
        <w:pStyle w:val="Ruller41"/>
        <w:rPr>
          <w:rtl/>
        </w:rPr>
      </w:pPr>
      <w:r>
        <w:rPr>
          <w:rtl/>
        </w:rPr>
        <w:lastRenderedPageBreak/>
        <w:tab/>
      </w:r>
      <w:r>
        <w:rPr>
          <w:rFonts w:hint="cs"/>
          <w:rtl/>
        </w:rPr>
        <w:t xml:space="preserve">יצוין כי נראה שהמצדדים בגישה זו אינם דורשים בהכרח מעורבות ישירה ואקטיבית מצד בני משפחתו של המפגע במעשה הטרור, וייתכן לכן שיכירו בלגיטימיות ההריסה גם כאשר הייתה לבני המשפחה ידיעה קונסטרוקטיבית או כאשר ניתן להסיק על תמיכתם במעשה הטרור גם אם בדיעבד (עניין </w:t>
      </w:r>
      <w:r w:rsidRPr="009672A2">
        <w:rPr>
          <w:rFonts w:ascii="Century" w:hAnsi="Century" w:cs="Miriam" w:hint="eastAsia"/>
          <w:b/>
          <w:spacing w:val="0"/>
          <w:szCs w:val="24"/>
          <w:rtl/>
        </w:rPr>
        <w:t>מרעי</w:t>
      </w:r>
      <w:r>
        <w:rPr>
          <w:rFonts w:hint="cs"/>
          <w:rtl/>
        </w:rPr>
        <w:t xml:space="preserve">, פסקה 8 לחוות דעתה של השופטת </w:t>
      </w:r>
      <w:r w:rsidRPr="00C94793">
        <w:rPr>
          <w:rFonts w:ascii="Century" w:hAnsi="Century" w:cs="Miriam" w:hint="cs"/>
          <w:b/>
          <w:spacing w:val="0"/>
          <w:szCs w:val="24"/>
          <w:rtl/>
        </w:rPr>
        <w:t>ברון</w:t>
      </w:r>
      <w:r>
        <w:rPr>
          <w:rFonts w:hint="cs"/>
          <w:rtl/>
        </w:rPr>
        <w:t xml:space="preserve">; בג"ץ 1624/16 </w:t>
      </w:r>
      <w:proofErr w:type="spellStart"/>
      <w:r w:rsidRPr="00DD6AC8">
        <w:rPr>
          <w:rFonts w:ascii="Century" w:hAnsi="Century" w:cs="Miriam" w:hint="eastAsia"/>
          <w:b/>
          <w:spacing w:val="0"/>
          <w:szCs w:val="24"/>
          <w:rtl/>
        </w:rPr>
        <w:t>חמאד</w:t>
      </w:r>
      <w:proofErr w:type="spellEnd"/>
      <w:r w:rsidRPr="00DD6AC8">
        <w:rPr>
          <w:rFonts w:ascii="Century" w:hAnsi="Century" w:cs="Miriam"/>
          <w:b/>
          <w:spacing w:val="0"/>
          <w:szCs w:val="24"/>
          <w:rtl/>
        </w:rPr>
        <w:t xml:space="preserve"> </w:t>
      </w:r>
      <w:r w:rsidRPr="00DD6AC8">
        <w:rPr>
          <w:rFonts w:ascii="Century" w:hAnsi="Century" w:cs="Miriam" w:hint="eastAsia"/>
          <w:b/>
          <w:spacing w:val="0"/>
          <w:szCs w:val="24"/>
          <w:rtl/>
        </w:rPr>
        <w:t>נ</w:t>
      </w:r>
      <w:r w:rsidRPr="00DD6AC8">
        <w:rPr>
          <w:rFonts w:ascii="Century" w:hAnsi="Century" w:cs="Miriam"/>
          <w:b/>
          <w:spacing w:val="0"/>
          <w:szCs w:val="24"/>
          <w:rtl/>
        </w:rPr>
        <w:t xml:space="preserve">' </w:t>
      </w:r>
      <w:r w:rsidRPr="00DD6AC8">
        <w:rPr>
          <w:rFonts w:ascii="Century" w:hAnsi="Century" w:cs="Miriam" w:hint="eastAsia"/>
          <w:b/>
          <w:spacing w:val="0"/>
          <w:szCs w:val="24"/>
          <w:rtl/>
        </w:rPr>
        <w:t>המפקד</w:t>
      </w:r>
      <w:r w:rsidRPr="00DD6AC8">
        <w:rPr>
          <w:rFonts w:ascii="Century" w:hAnsi="Century" w:cs="Miriam"/>
          <w:b/>
          <w:spacing w:val="0"/>
          <w:szCs w:val="24"/>
          <w:rtl/>
        </w:rPr>
        <w:t xml:space="preserve"> </w:t>
      </w:r>
      <w:r w:rsidRPr="00DD6AC8">
        <w:rPr>
          <w:rFonts w:ascii="Century" w:hAnsi="Century" w:cs="Miriam" w:hint="eastAsia"/>
          <w:b/>
          <w:spacing w:val="0"/>
          <w:szCs w:val="24"/>
          <w:rtl/>
        </w:rPr>
        <w:t>הצבאי</w:t>
      </w:r>
      <w:r w:rsidRPr="00DD6AC8">
        <w:rPr>
          <w:rFonts w:ascii="Century" w:hAnsi="Century" w:cs="Miriam"/>
          <w:b/>
          <w:spacing w:val="0"/>
          <w:szCs w:val="24"/>
          <w:rtl/>
        </w:rPr>
        <w:t xml:space="preserve"> </w:t>
      </w:r>
      <w:proofErr w:type="spellStart"/>
      <w:r w:rsidRPr="00DD6AC8">
        <w:rPr>
          <w:rFonts w:ascii="Century" w:hAnsi="Century" w:cs="Miriam" w:hint="eastAsia"/>
          <w:b/>
          <w:spacing w:val="0"/>
          <w:szCs w:val="24"/>
          <w:rtl/>
        </w:rPr>
        <w:t>לאיזור</w:t>
      </w:r>
      <w:proofErr w:type="spellEnd"/>
      <w:r w:rsidRPr="00DD6AC8">
        <w:rPr>
          <w:rFonts w:ascii="Century" w:hAnsi="Century" w:cs="Miriam"/>
          <w:b/>
          <w:spacing w:val="0"/>
          <w:szCs w:val="24"/>
          <w:rtl/>
        </w:rPr>
        <w:t xml:space="preserve"> </w:t>
      </w:r>
      <w:r w:rsidRPr="00DD6AC8">
        <w:rPr>
          <w:rFonts w:ascii="Century" w:hAnsi="Century" w:cs="Miriam" w:hint="eastAsia"/>
          <w:b/>
          <w:spacing w:val="0"/>
          <w:szCs w:val="24"/>
          <w:rtl/>
        </w:rPr>
        <w:t>הגדה</w:t>
      </w:r>
      <w:r w:rsidRPr="00DD6AC8">
        <w:rPr>
          <w:rFonts w:ascii="Century" w:hAnsi="Century" w:cs="Miriam"/>
          <w:b/>
          <w:spacing w:val="0"/>
          <w:szCs w:val="24"/>
          <w:rtl/>
        </w:rPr>
        <w:t xml:space="preserve"> </w:t>
      </w:r>
      <w:r w:rsidRPr="00DD6AC8">
        <w:rPr>
          <w:rFonts w:ascii="Century" w:hAnsi="Century" w:cs="Miriam" w:hint="eastAsia"/>
          <w:b/>
          <w:spacing w:val="0"/>
          <w:szCs w:val="24"/>
          <w:rtl/>
        </w:rPr>
        <w:t>המערבית</w:t>
      </w:r>
      <w:r>
        <w:rPr>
          <w:rFonts w:hint="cs"/>
          <w:rtl/>
        </w:rPr>
        <w:t xml:space="preserve"> (14.6.2016)). </w:t>
      </w:r>
    </w:p>
    <w:p w:rsidR="00AD2F60" w:rsidRDefault="00AD2F60" w:rsidP="00AD2F60">
      <w:pPr>
        <w:pStyle w:val="Ruller41"/>
        <w:rPr>
          <w:rtl/>
        </w:rPr>
      </w:pPr>
    </w:p>
    <w:p w:rsidR="00AD2F60" w:rsidRDefault="00AD2F60" w:rsidP="00AD2F60">
      <w:pPr>
        <w:pStyle w:val="Ruller41"/>
        <w:rPr>
          <w:rtl/>
        </w:rPr>
      </w:pPr>
      <w:r>
        <w:rPr>
          <w:rtl/>
        </w:rPr>
        <w:tab/>
      </w:r>
      <w:r w:rsidRPr="002E6E27">
        <w:rPr>
          <w:rFonts w:ascii="Century" w:hAnsi="Century" w:cs="Miriam" w:hint="cs"/>
          <w:b/>
          <w:spacing w:val="0"/>
          <w:szCs w:val="24"/>
          <w:rtl/>
        </w:rPr>
        <w:t>גישה שלישית</w:t>
      </w:r>
      <w:r>
        <w:rPr>
          <w:rFonts w:hint="cs"/>
          <w:rtl/>
        </w:rPr>
        <w:t xml:space="preserve">, בה נוקט השופט </w:t>
      </w:r>
      <w:proofErr w:type="spellStart"/>
      <w:r w:rsidRPr="005D03A0">
        <w:rPr>
          <w:rFonts w:ascii="Century" w:hAnsi="Century" w:cs="Miriam" w:hint="cs"/>
          <w:b/>
          <w:spacing w:val="0"/>
          <w:szCs w:val="24"/>
          <w:rtl/>
        </w:rPr>
        <w:t>פוגלמן</w:t>
      </w:r>
      <w:proofErr w:type="spellEnd"/>
      <w:r>
        <w:rPr>
          <w:rFonts w:hint="cs"/>
          <w:rtl/>
        </w:rPr>
        <w:t xml:space="preserve">, ניצבת בין שתי גישות אלה. בדומה לגישה השנייה, גם לפי גישה זו, כאשר לא הוכח בראיות מספקות שבני משפחתו של החשוד היו מעורבים בפעילות העוינת </w:t>
      </w:r>
      <w:r>
        <w:rPr>
          <w:rtl/>
        </w:rPr>
        <w:t>–</w:t>
      </w:r>
      <w:r>
        <w:rPr>
          <w:rFonts w:hint="cs"/>
          <w:rtl/>
        </w:rPr>
        <w:t xml:space="preserve"> השימוש בתקנה אינו מידתי. ואולם, לעומת המצדדים בגישה השנייה, השופט </w:t>
      </w:r>
      <w:proofErr w:type="spellStart"/>
      <w:r w:rsidRPr="0021726B">
        <w:rPr>
          <w:rFonts w:ascii="Century" w:hAnsi="Century" w:cs="Miriam" w:hint="eastAsia"/>
          <w:b/>
          <w:spacing w:val="0"/>
          <w:szCs w:val="24"/>
          <w:rtl/>
        </w:rPr>
        <w:t>פוגלמן</w:t>
      </w:r>
      <w:proofErr w:type="spellEnd"/>
      <w:r w:rsidRPr="00865440">
        <w:rPr>
          <w:rFonts w:hint="cs"/>
          <w:rtl/>
        </w:rPr>
        <w:t xml:space="preserve"> </w:t>
      </w:r>
      <w:r>
        <w:rPr>
          <w:rFonts w:hint="cs"/>
          <w:rtl/>
        </w:rPr>
        <w:t xml:space="preserve">סבור כי גם במקרים אלה יש "להרכין ראש" בפני ההלכה הנוהגת ולאשר את ההריסה; כאשר לצד זאת הוא קורא לשוב ולעיין מחדש בהלכה הפסוקה (בג"ץ 5839/15 </w:t>
      </w:r>
      <w:r w:rsidRPr="009672A2">
        <w:rPr>
          <w:rFonts w:ascii="Century" w:hAnsi="Century" w:cs="Miriam" w:hint="eastAsia"/>
          <w:b/>
          <w:spacing w:val="0"/>
          <w:szCs w:val="24"/>
          <w:rtl/>
        </w:rPr>
        <w:t>סידר</w:t>
      </w:r>
      <w:r w:rsidRPr="009672A2">
        <w:rPr>
          <w:rFonts w:ascii="Century" w:hAnsi="Century" w:cs="Miriam"/>
          <w:b/>
          <w:spacing w:val="0"/>
          <w:szCs w:val="24"/>
          <w:rtl/>
        </w:rPr>
        <w:t xml:space="preserve"> </w:t>
      </w:r>
      <w:r w:rsidRPr="009672A2">
        <w:rPr>
          <w:rFonts w:ascii="Century" w:hAnsi="Century" w:cs="Miriam" w:hint="eastAsia"/>
          <w:b/>
          <w:spacing w:val="0"/>
          <w:szCs w:val="24"/>
          <w:rtl/>
        </w:rPr>
        <w:t>נ</w:t>
      </w:r>
      <w:r w:rsidRPr="009672A2">
        <w:rPr>
          <w:rFonts w:ascii="Century" w:hAnsi="Century" w:cs="Miriam"/>
          <w:b/>
          <w:spacing w:val="0"/>
          <w:szCs w:val="24"/>
          <w:rtl/>
        </w:rPr>
        <w:t>' מפקד כוחות צה"ל בגדה המערבית</w:t>
      </w:r>
      <w:r>
        <w:rPr>
          <w:rFonts w:hint="cs"/>
          <w:rtl/>
        </w:rPr>
        <w:t xml:space="preserve">, פסקה 2 לחוות דעתו של השופט </w:t>
      </w:r>
      <w:proofErr w:type="spellStart"/>
      <w:r w:rsidRPr="003027FB">
        <w:rPr>
          <w:rFonts w:ascii="Century" w:hAnsi="Century" w:cs="Miriam" w:hint="cs"/>
          <w:b/>
          <w:spacing w:val="0"/>
          <w:szCs w:val="24"/>
          <w:rtl/>
        </w:rPr>
        <w:t>פוגלמן</w:t>
      </w:r>
      <w:proofErr w:type="spellEnd"/>
      <w:r w:rsidRPr="0028729F">
        <w:rPr>
          <w:rFonts w:hint="cs"/>
          <w:rtl/>
        </w:rPr>
        <w:t xml:space="preserve"> </w:t>
      </w:r>
      <w:r>
        <w:rPr>
          <w:rFonts w:hint="cs"/>
          <w:rtl/>
        </w:rPr>
        <w:t xml:space="preserve">(15.10.2015); עניין </w:t>
      </w:r>
      <w:proofErr w:type="spellStart"/>
      <w:r w:rsidRPr="0021726B">
        <w:rPr>
          <w:rFonts w:ascii="Century" w:hAnsi="Century" w:cs="Miriam" w:hint="eastAsia"/>
          <w:b/>
          <w:spacing w:val="0"/>
          <w:szCs w:val="24"/>
          <w:rtl/>
        </w:rPr>
        <w:t>אטרש</w:t>
      </w:r>
      <w:proofErr w:type="spellEnd"/>
      <w:r>
        <w:rPr>
          <w:rFonts w:hint="cs"/>
          <w:rtl/>
        </w:rPr>
        <w:t xml:space="preserve">, בפסקה 1 לחוות דעתו של השופט </w:t>
      </w:r>
      <w:proofErr w:type="spellStart"/>
      <w:r w:rsidRPr="0021726B">
        <w:rPr>
          <w:rFonts w:ascii="Century" w:hAnsi="Century" w:cs="Miriam" w:hint="eastAsia"/>
          <w:b/>
          <w:spacing w:val="0"/>
          <w:szCs w:val="24"/>
          <w:rtl/>
        </w:rPr>
        <w:t>פוגלמן</w:t>
      </w:r>
      <w:proofErr w:type="spellEnd"/>
      <w:r>
        <w:rPr>
          <w:rFonts w:hint="cs"/>
          <w:rtl/>
        </w:rPr>
        <w:t xml:space="preserve">). </w:t>
      </w:r>
    </w:p>
    <w:p w:rsidR="00AD2F60" w:rsidRDefault="00AD2F60" w:rsidP="00AD2F60">
      <w:pPr>
        <w:pStyle w:val="Ruller41"/>
        <w:rPr>
          <w:rtl/>
        </w:rPr>
      </w:pPr>
    </w:p>
    <w:p w:rsidR="00AD2F60" w:rsidRDefault="00AD2F60" w:rsidP="00AD2F60">
      <w:pPr>
        <w:pStyle w:val="Ruller4"/>
      </w:pPr>
      <w:r>
        <w:rPr>
          <w:rFonts w:hint="cs"/>
          <w:rtl/>
        </w:rPr>
        <w:t xml:space="preserve">כפי שיובהר להלן, אני סבורה כי יש מקום לבחון כל מקרה ומקרה בהתאם למכלול נסיבותיו, וכי יש לתת משקל משמעותי לעמדתם של בני המשפחה, לידיעתם על אודות הפיגוע ולמעורבותם בו. בהתאם, אני סבורה כי כאשר מדובר בבית שאינו של המפגע אלא של משפחתו (קרי כאשר המפגע הוא "דייר נלווה", למשל מי שמתגורר עם הוריו  כמו במקרה דנן), וכאשר בני המשפחה הללו לא היו מודעים כלל לכוונות המפגע, לעמדותיו ולתכניותיו ולא היו שותפים להן, הרי שככלל אין מקום להרוס את ביתם של בני המשפחה (אלא לכל היותר להרוס או לאטום את אותו חלק מהבית בו גר המפגע עצמו). </w:t>
      </w:r>
    </w:p>
    <w:p w:rsidR="00AD2F60" w:rsidRDefault="00AD2F60" w:rsidP="00AD2F60">
      <w:pPr>
        <w:pStyle w:val="Ruller4"/>
        <w:numPr>
          <w:ilvl w:val="0"/>
          <w:numId w:val="0"/>
        </w:numPr>
      </w:pPr>
    </w:p>
    <w:p w:rsidR="00AD2F60" w:rsidRDefault="00AD2F60" w:rsidP="00AD2F60">
      <w:pPr>
        <w:pStyle w:val="Ruller4"/>
        <w:numPr>
          <w:ilvl w:val="0"/>
          <w:numId w:val="0"/>
        </w:numPr>
        <w:rPr>
          <w:rtl/>
        </w:rPr>
      </w:pPr>
      <w:r>
        <w:rPr>
          <w:rtl/>
        </w:rPr>
        <w:tab/>
      </w:r>
      <w:r>
        <w:rPr>
          <w:rFonts w:hint="cs"/>
          <w:rtl/>
        </w:rPr>
        <w:t xml:space="preserve">כפי שיבואר להלן, מסקנה זו עולה לטעמי ממבחן המידתיות במסגרתו יש להביא בחשבון את מטרת התקנה ואת מידת ההתאמה בין ההריסה והיקפה לבין הגשמת המטרה </w:t>
      </w:r>
      <w:r>
        <w:rPr>
          <w:rtl/>
        </w:rPr>
        <w:t>–</w:t>
      </w:r>
      <w:r>
        <w:rPr>
          <w:rFonts w:hint="cs"/>
          <w:rtl/>
        </w:rPr>
        <w:t xml:space="preserve"> מחד גיסא; ואת הנזק שייגרם כתוצאה מהפעלת התקנה בין היתר למי שאין חולק שלא היה לו חלק בביצוע הפיגוע או אף ידיעה מוקדמת על אודותיו, מאידך גיסא. </w:t>
      </w:r>
    </w:p>
    <w:p w:rsidR="00AD2F60" w:rsidRDefault="00AD2F60" w:rsidP="00AD2F60">
      <w:pPr>
        <w:pStyle w:val="Ruller41"/>
        <w:rPr>
          <w:rtl/>
        </w:rPr>
      </w:pPr>
    </w:p>
    <w:p w:rsidR="00AD2F60" w:rsidRPr="00207543" w:rsidRDefault="00AD2F60" w:rsidP="00AD2F60">
      <w:pPr>
        <w:pStyle w:val="Ruller41"/>
        <w:rPr>
          <w:rFonts w:ascii="Century" w:hAnsi="Century" w:cs="Miriam"/>
          <w:b/>
          <w:spacing w:val="0"/>
          <w:szCs w:val="24"/>
          <w:rtl/>
        </w:rPr>
      </w:pPr>
      <w:r w:rsidRPr="00207543">
        <w:rPr>
          <w:rFonts w:ascii="Century" w:hAnsi="Century" w:cs="Miriam" w:hint="cs"/>
          <w:b/>
          <w:spacing w:val="0"/>
          <w:szCs w:val="24"/>
          <w:rtl/>
        </w:rPr>
        <w:t xml:space="preserve">מטרת התקנה </w:t>
      </w:r>
      <w:r w:rsidRPr="00207543">
        <w:rPr>
          <w:rFonts w:ascii="Century" w:hAnsi="Century" w:cs="Miriam"/>
          <w:b/>
          <w:spacing w:val="0"/>
          <w:szCs w:val="24"/>
          <w:rtl/>
        </w:rPr>
        <w:t>–</w:t>
      </w:r>
      <w:r>
        <w:rPr>
          <w:rFonts w:ascii="Century" w:hAnsi="Century" w:cs="Miriam" w:hint="cs"/>
          <w:b/>
          <w:spacing w:val="0"/>
          <w:szCs w:val="24"/>
          <w:rtl/>
        </w:rPr>
        <w:t xml:space="preserve"> </w:t>
      </w:r>
      <w:r w:rsidRPr="00207543">
        <w:rPr>
          <w:rFonts w:ascii="Century" w:hAnsi="Century" w:cs="Miriam" w:hint="cs"/>
          <w:b/>
          <w:spacing w:val="0"/>
          <w:szCs w:val="24"/>
          <w:rtl/>
        </w:rPr>
        <w:t>הרתעת אחרים</w:t>
      </w:r>
    </w:p>
    <w:p w:rsidR="00AD2F60" w:rsidRDefault="00AD2F60" w:rsidP="00AD2F60">
      <w:pPr>
        <w:pStyle w:val="Ruller41"/>
        <w:rPr>
          <w:rtl/>
        </w:rPr>
      </w:pPr>
    </w:p>
    <w:p w:rsidR="00AD2F60" w:rsidRDefault="00AD2F60" w:rsidP="00AD2F60">
      <w:pPr>
        <w:pStyle w:val="Ruller4"/>
      </w:pPr>
      <w:r>
        <w:rPr>
          <w:rFonts w:hint="cs"/>
          <w:rtl/>
        </w:rPr>
        <w:t xml:space="preserve">הפסיקה חזרה וקבעה כי המטרה של הריסת בתי מחבלים היא מטרה הרתעתית ולא </w:t>
      </w:r>
      <w:proofErr w:type="spellStart"/>
      <w:r>
        <w:rPr>
          <w:rFonts w:hint="cs"/>
          <w:rtl/>
        </w:rPr>
        <w:t>עונשית</w:t>
      </w:r>
      <w:proofErr w:type="spellEnd"/>
      <w:r>
        <w:rPr>
          <w:rFonts w:hint="cs"/>
          <w:rtl/>
        </w:rPr>
        <w:t xml:space="preserve"> (ראו מיני רבים: עניין </w:t>
      </w:r>
      <w:r w:rsidRPr="009672A2">
        <w:rPr>
          <w:rFonts w:ascii="Century" w:hAnsi="Century" w:cs="Miriam" w:hint="eastAsia"/>
          <w:b/>
          <w:spacing w:val="0"/>
          <w:sz w:val="22"/>
          <w:szCs w:val="24"/>
          <w:rtl/>
        </w:rPr>
        <w:t>מרעי</w:t>
      </w:r>
      <w:r>
        <w:rPr>
          <w:rFonts w:hint="cs"/>
          <w:rtl/>
        </w:rPr>
        <w:t xml:space="preserve">, פסקה 2 לחוות דעתה של השופטת </w:t>
      </w:r>
      <w:r w:rsidRPr="00F654F2">
        <w:rPr>
          <w:rFonts w:ascii="Century" w:hAnsi="Century" w:cs="Miriam" w:hint="cs"/>
          <w:b/>
          <w:spacing w:val="0"/>
          <w:sz w:val="22"/>
          <w:szCs w:val="24"/>
          <w:rtl/>
        </w:rPr>
        <w:t>ברון</w:t>
      </w:r>
      <w:r>
        <w:rPr>
          <w:rFonts w:hint="cs"/>
          <w:rtl/>
        </w:rPr>
        <w:t xml:space="preserve">; עניין </w:t>
      </w:r>
      <w:proofErr w:type="spellStart"/>
      <w:r w:rsidRPr="009672A2">
        <w:rPr>
          <w:rFonts w:ascii="Century" w:hAnsi="Century" w:cs="Miriam" w:hint="eastAsia"/>
          <w:b/>
          <w:spacing w:val="0"/>
          <w:sz w:val="22"/>
          <w:szCs w:val="24"/>
          <w:rtl/>
        </w:rPr>
        <w:t>קואסמה</w:t>
      </w:r>
      <w:proofErr w:type="spellEnd"/>
      <w:r>
        <w:rPr>
          <w:rFonts w:hint="cs"/>
          <w:rtl/>
        </w:rPr>
        <w:t xml:space="preserve">, פסקה 23; עניין </w:t>
      </w:r>
      <w:r w:rsidRPr="009672A2">
        <w:rPr>
          <w:rFonts w:ascii="Century" w:hAnsi="Century" w:cs="Miriam" w:hint="eastAsia"/>
          <w:b/>
          <w:spacing w:val="0"/>
          <w:sz w:val="22"/>
          <w:szCs w:val="24"/>
          <w:rtl/>
        </w:rPr>
        <w:t>המוקד</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להגנת</w:t>
      </w:r>
      <w:r w:rsidRPr="009672A2">
        <w:rPr>
          <w:rFonts w:ascii="Century" w:hAnsi="Century" w:cs="Miriam"/>
          <w:b/>
          <w:spacing w:val="0"/>
          <w:sz w:val="22"/>
          <w:szCs w:val="24"/>
          <w:rtl/>
        </w:rPr>
        <w:t xml:space="preserve"> </w:t>
      </w:r>
      <w:r w:rsidRPr="009672A2">
        <w:rPr>
          <w:rFonts w:ascii="Century" w:hAnsi="Century" w:cs="Miriam" w:hint="eastAsia"/>
          <w:b/>
          <w:spacing w:val="0"/>
          <w:sz w:val="22"/>
          <w:szCs w:val="24"/>
          <w:rtl/>
        </w:rPr>
        <w:t>הפרט</w:t>
      </w:r>
      <w:r>
        <w:rPr>
          <w:rFonts w:hint="cs"/>
          <w:rtl/>
        </w:rPr>
        <w:t xml:space="preserve">, פסקה </w:t>
      </w:r>
      <w:proofErr w:type="spellStart"/>
      <w:r>
        <w:rPr>
          <w:rFonts w:hint="cs"/>
          <w:rtl/>
        </w:rPr>
        <w:t>יז</w:t>
      </w:r>
      <w:proofErr w:type="spellEnd"/>
      <w:r>
        <w:rPr>
          <w:rFonts w:hint="cs"/>
          <w:rtl/>
        </w:rPr>
        <w:t xml:space="preserve">). ההריסה נועדה </w:t>
      </w:r>
      <w:r>
        <w:rPr>
          <w:rtl/>
        </w:rPr>
        <w:t>–</w:t>
      </w:r>
      <w:r>
        <w:rPr>
          <w:rFonts w:hint="cs"/>
          <w:rtl/>
        </w:rPr>
        <w:t xml:space="preserve"> כך נפסק </w:t>
      </w:r>
      <w:r>
        <w:rPr>
          <w:rtl/>
        </w:rPr>
        <w:t>–</w:t>
      </w:r>
      <w:r>
        <w:rPr>
          <w:rFonts w:hint="cs"/>
          <w:rtl/>
        </w:rPr>
        <w:t xml:space="preserve"> </w:t>
      </w:r>
      <w:r>
        <w:rPr>
          <w:rFonts w:hint="cs"/>
          <w:rtl/>
        </w:rPr>
        <w:lastRenderedPageBreak/>
        <w:t xml:space="preserve">כדי למנוע פיגועים עתידיים, תוך הנחה כי מפגעים פוטנציאליים עתידיים עשויים להימנע מביצוע פיגוע אם ידעו כי כתוצאה מכך עלולים בני המשפחה הקרובים שלהם לאבד את בית המגורים שלהם; כמו גם מתוך הנחה כי לנוכח התוצאות הקשות ינסו בני משפחה של מפגעים עתידיים להניא אותם מלעשות כן.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מובן כי מטרה זו כשלעצמה היא מטרה חשובה ביותר. הדברים נכונים בכל עת, וודאי שהם נכונים בתקופות כמו התקופה הנוכחית, בה מבוצעים מעשי טרור רבים ומזעזעים, חלקם </w:t>
      </w:r>
      <w:r>
        <w:rPr>
          <w:rtl/>
        </w:rPr>
        <w:t>–</w:t>
      </w:r>
      <w:r>
        <w:rPr>
          <w:rFonts w:hint="cs"/>
          <w:rtl/>
        </w:rPr>
        <w:t xml:space="preserve"> במרכזי ערים ותוך פגיעה מכוונת באזרחים חפים מפשע (כפי שהיה במקרה נושא העתירה דנן). בתקופה כזו </w:t>
      </w:r>
      <w:r>
        <w:rPr>
          <w:rtl/>
        </w:rPr>
        <w:t>–</w:t>
      </w:r>
      <w:r>
        <w:rPr>
          <w:rFonts w:hint="cs"/>
          <w:rtl/>
        </w:rPr>
        <w:t xml:space="preserve"> למטרת ההרתעה העתידית יש אם כן כמובן חשיבות קרדינלית לשמירה על שלומם וביטחונם של תושבי המדינה כולם. </w:t>
      </w:r>
    </w:p>
    <w:p w:rsidR="00AD2F60" w:rsidRDefault="00AD2F60" w:rsidP="00AD2F60">
      <w:pPr>
        <w:pStyle w:val="Ruller41"/>
        <w:rPr>
          <w:rtl/>
        </w:rPr>
      </w:pPr>
    </w:p>
    <w:p w:rsidR="00AD2F60" w:rsidRDefault="00AD2F60" w:rsidP="00AD2F60">
      <w:pPr>
        <w:pStyle w:val="Ruller4"/>
      </w:pPr>
      <w:r>
        <w:rPr>
          <w:rFonts w:hint="cs"/>
          <w:rtl/>
        </w:rPr>
        <w:t xml:space="preserve">חרף העובדה שהמטרה המוצהרת של ההריסה היא הרתעה, יש לדייק את הדברים, שכן לצד מטרת ההרתעה התייחסו הן מתקין התקנה והן ההלכה הפסוקה לשיקולים שהם בעלי אופי "גמולי". לטעמי, שיקולים אלה הם ההופכים את ההריסה למצער בחלק מהמקרים למידתית.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sidRPr="0021726B">
        <w:rPr>
          <w:rFonts w:ascii="Century" w:hAnsi="Century" w:cs="Miriam" w:hint="cs"/>
          <w:b/>
          <w:spacing w:val="0"/>
          <w:sz w:val="22"/>
          <w:szCs w:val="24"/>
          <w:rtl/>
        </w:rPr>
        <w:t>ראשית</w:t>
      </w:r>
      <w:r>
        <w:rPr>
          <w:rFonts w:hint="cs"/>
          <w:rtl/>
        </w:rPr>
        <w:t xml:space="preserve">, על פי לשון התקנה </w:t>
      </w:r>
      <w:r>
        <w:rPr>
          <w:rtl/>
        </w:rPr>
        <w:t>–</w:t>
      </w:r>
      <w:r>
        <w:rPr>
          <w:rFonts w:hint="cs"/>
          <w:rtl/>
        </w:rPr>
        <w:t xml:space="preserve">  הרי שההריסה מבוצעת בבית שלמפגע חייבת להיות זיקת מגורים כלפיו (</w:t>
      </w:r>
      <w:proofErr w:type="spellStart"/>
      <w:r>
        <w:rPr>
          <w:rFonts w:hint="cs"/>
          <w:rtl/>
        </w:rPr>
        <w:t>דנג"ץ</w:t>
      </w:r>
      <w:proofErr w:type="spellEnd"/>
      <w:r>
        <w:rPr>
          <w:rFonts w:hint="cs"/>
          <w:rtl/>
        </w:rPr>
        <w:t xml:space="preserve"> 2376/23 </w:t>
      </w:r>
      <w:proofErr w:type="spellStart"/>
      <w:r w:rsidRPr="00E56C39">
        <w:rPr>
          <w:rFonts w:ascii="Century" w:hAnsi="Century" w:cs="Miriam" w:hint="eastAsia"/>
          <w:b/>
          <w:spacing w:val="0"/>
          <w:sz w:val="22"/>
          <w:szCs w:val="24"/>
          <w:rtl/>
        </w:rPr>
        <w:t>הילאן</w:t>
      </w:r>
      <w:proofErr w:type="spellEnd"/>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נ</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המפקד</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הצבאי</w:t>
      </w:r>
      <w:r w:rsidRPr="00E56C39">
        <w:rPr>
          <w:rFonts w:ascii="Century" w:hAnsi="Century" w:cs="Miriam"/>
          <w:b/>
          <w:spacing w:val="0"/>
          <w:sz w:val="22"/>
          <w:szCs w:val="24"/>
          <w:rtl/>
        </w:rPr>
        <w:t xml:space="preserve"> </w:t>
      </w:r>
      <w:proofErr w:type="spellStart"/>
      <w:r w:rsidRPr="00E56C39">
        <w:rPr>
          <w:rFonts w:ascii="Century" w:hAnsi="Century" w:cs="Miriam" w:hint="eastAsia"/>
          <w:b/>
          <w:spacing w:val="0"/>
          <w:sz w:val="22"/>
          <w:szCs w:val="24"/>
          <w:rtl/>
        </w:rPr>
        <w:t>לאיזור</w:t>
      </w:r>
      <w:proofErr w:type="spellEnd"/>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הגדה</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המערבית</w:t>
      </w:r>
      <w:r>
        <w:rPr>
          <w:rFonts w:hint="cs"/>
          <w:rtl/>
        </w:rPr>
        <w:t xml:space="preserve">, פסקה 9 (22.3.2023); בג"ץ 7040/15 </w:t>
      </w:r>
      <w:proofErr w:type="spellStart"/>
      <w:r w:rsidRPr="00E56C39">
        <w:rPr>
          <w:rFonts w:ascii="Century" w:hAnsi="Century" w:cs="Miriam" w:hint="eastAsia"/>
          <w:b/>
          <w:spacing w:val="0"/>
          <w:sz w:val="22"/>
          <w:szCs w:val="24"/>
          <w:rtl/>
        </w:rPr>
        <w:t>חמאד</w:t>
      </w:r>
      <w:proofErr w:type="spellEnd"/>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נ</w:t>
      </w:r>
      <w:r w:rsidRPr="00E56C39">
        <w:rPr>
          <w:rFonts w:ascii="Century" w:hAnsi="Century" w:cs="Miriam"/>
          <w:b/>
          <w:spacing w:val="0"/>
          <w:sz w:val="22"/>
          <w:szCs w:val="24"/>
          <w:rtl/>
        </w:rPr>
        <w:t xml:space="preserve">' המפקד הצבאי באזור הגדה </w:t>
      </w:r>
      <w:r w:rsidRPr="00E56C39">
        <w:rPr>
          <w:rFonts w:ascii="Century" w:hAnsi="Century" w:cs="Miriam" w:hint="eastAsia"/>
          <w:b/>
          <w:spacing w:val="0"/>
          <w:sz w:val="22"/>
          <w:szCs w:val="24"/>
          <w:rtl/>
        </w:rPr>
        <w:t>המערבית</w:t>
      </w:r>
      <w:r>
        <w:rPr>
          <w:rFonts w:hint="cs"/>
          <w:rtl/>
        </w:rPr>
        <w:t xml:space="preserve">, פסקה 45 (12.11.2015) (להלן: </w:t>
      </w:r>
      <w:r w:rsidRPr="0021726B">
        <w:rPr>
          <w:rFonts w:ascii="Century" w:hAnsi="Century" w:cs="Miriam" w:hint="eastAsia"/>
          <w:b/>
          <w:spacing w:val="0"/>
          <w:sz w:val="22"/>
          <w:szCs w:val="24"/>
          <w:rtl/>
        </w:rPr>
        <w:t>עניין</w:t>
      </w:r>
      <w:r w:rsidRPr="0021726B">
        <w:rPr>
          <w:rFonts w:ascii="Century" w:hAnsi="Century" w:cs="Miriam"/>
          <w:b/>
          <w:spacing w:val="0"/>
          <w:sz w:val="22"/>
          <w:szCs w:val="24"/>
          <w:rtl/>
        </w:rPr>
        <w:t xml:space="preserve"> </w:t>
      </w:r>
      <w:proofErr w:type="spellStart"/>
      <w:r w:rsidRPr="0021726B">
        <w:rPr>
          <w:rFonts w:ascii="Century" w:hAnsi="Century" w:cs="Miriam" w:hint="eastAsia"/>
          <w:b/>
          <w:spacing w:val="0"/>
          <w:sz w:val="22"/>
          <w:szCs w:val="24"/>
          <w:rtl/>
        </w:rPr>
        <w:t>חמאד</w:t>
      </w:r>
      <w:proofErr w:type="spellEnd"/>
      <w:r>
        <w:rPr>
          <w:rFonts w:hint="cs"/>
          <w:rtl/>
        </w:rPr>
        <w:t>)). כך, התקנה קובעת כי הבית שייהרס צריך להיות בית שהמפקד הצבאי נוכח לדעת כי תושביו או מקצת מתושביו (</w:t>
      </w:r>
      <w:r>
        <w:t>the inhabitants or some of the inhabitants of which</w:t>
      </w:r>
      <w:r>
        <w:rPr>
          <w:rFonts w:hint="cs"/>
          <w:rtl/>
        </w:rPr>
        <w:t>) "</w:t>
      </w:r>
      <w:r w:rsidRPr="004F2156">
        <w:rPr>
          <w:rFonts w:ascii="Century" w:hAnsi="Century" w:cs="Miriam" w:hint="cs"/>
          <w:b/>
          <w:spacing w:val="0"/>
          <w:szCs w:val="24"/>
          <w:rtl/>
        </w:rPr>
        <w:t>עברו או ניסו לעבור או חיזקו את ידי העוברים, או היו שותפים שלאחר מעשה לעוברים עבירה על התקנות האלה, עבירה שבה כרוכות אלימות או הטלת אימה או עבירה שעליה נדונים בבית משפט צבאי</w:t>
      </w:r>
      <w:r>
        <w:rPr>
          <w:rFonts w:hint="cs"/>
          <w:rtl/>
        </w:rPr>
        <w:t xml:space="preserve">..." (ראו את הנוסח העברי של תקנה 119).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כלומר, אחד מהתנאים להפעלת התקנה היא שותפות של תושבי הבית </w:t>
      </w:r>
      <w:r>
        <w:rPr>
          <w:rtl/>
        </w:rPr>
        <w:t>–</w:t>
      </w:r>
      <w:r>
        <w:rPr>
          <w:rFonts w:hint="cs"/>
          <w:rtl/>
        </w:rPr>
        <w:t xml:space="preserve"> כולם או אף מקצתם </w:t>
      </w:r>
      <w:r>
        <w:rPr>
          <w:rtl/>
        </w:rPr>
        <w:t>–</w:t>
      </w:r>
      <w:r>
        <w:rPr>
          <w:rFonts w:hint="cs"/>
          <w:rtl/>
        </w:rPr>
        <w:t xml:space="preserve"> בעבירה. לכן, אם המפגע או מאן דהוא אחר שהיה שותף לפיגוע אינו גר בבית, לא ניתן להרוס את הבית מכוח התקנה. התנאי האמור לפיו ניתן להרוס רק בית שלמפגע יש זיקת מגורים כלפיו, אינו עולה לכאורה בקנה אחד עם המטרה ההרתעתית. הריסת ביתו של המפגע עצמו אינה אמורה להרתיע אותו באופן משמעותי אם בכלל. ההרתעה נובעת דווקא מהריסה אפשרית של בית משפחתו של המפגע, ומכך שהמפגע ובני משפחתו ידעו על אודות הפגיעה הצפויה בביתם של בני המשפחה האחרים אם אחד מבני הבית יבצע פיגוע.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יובהר עוד כי בפסיקה ניתנה פרשנות מרחיבה לדרישה זו של זיקת המגורים של המפגע לדירה המיועדת להריסה. כך למשל נקבע כי היעדרות של אדם מבית מגוריו אינה מנתקת בהכרח את הזיקה לבית; כי העובדה שלמפגע היה מקום מגורים חלופי אינה מנתקת את זיקת המגורים שלו לבית; כי די במגורים מעת לעת כדי להקים את זיקת המגורים לצורך הפעלת תקנה 119; וכי גם דירה המיועדת למגורי המפגע היא דירה שמקיימת זיקת מגורים אף אם טרם אוכלסה (בג"ץ 2322/19 </w:t>
      </w:r>
      <w:proofErr w:type="spellStart"/>
      <w:r w:rsidRPr="00E56C39">
        <w:rPr>
          <w:rFonts w:ascii="Century" w:hAnsi="Century" w:cs="Miriam" w:hint="eastAsia"/>
          <w:b/>
          <w:spacing w:val="0"/>
          <w:szCs w:val="24"/>
          <w:rtl/>
        </w:rPr>
        <w:t>רפאעיה</w:t>
      </w:r>
      <w:proofErr w:type="spellEnd"/>
      <w:r w:rsidRPr="00E56C39">
        <w:rPr>
          <w:rFonts w:ascii="Century" w:hAnsi="Century" w:cs="Miriam"/>
          <w:b/>
          <w:spacing w:val="0"/>
          <w:szCs w:val="24"/>
          <w:rtl/>
        </w:rPr>
        <w:t xml:space="preserve"> </w:t>
      </w:r>
      <w:r w:rsidRPr="00E56C39">
        <w:rPr>
          <w:rFonts w:ascii="Century" w:hAnsi="Century" w:cs="Miriam" w:hint="eastAsia"/>
          <w:b/>
          <w:spacing w:val="0"/>
          <w:szCs w:val="24"/>
          <w:rtl/>
        </w:rPr>
        <w:t>נ</w:t>
      </w:r>
      <w:r w:rsidRPr="00E56C39">
        <w:rPr>
          <w:rFonts w:ascii="Century" w:hAnsi="Century" w:cs="Miriam"/>
          <w:b/>
          <w:spacing w:val="0"/>
          <w:szCs w:val="24"/>
          <w:rtl/>
        </w:rPr>
        <w:t xml:space="preserve">' </w:t>
      </w:r>
      <w:r w:rsidRPr="00E56C39">
        <w:rPr>
          <w:rFonts w:ascii="Century" w:hAnsi="Century" w:cs="Miriam" w:hint="eastAsia"/>
          <w:b/>
          <w:spacing w:val="0"/>
          <w:szCs w:val="24"/>
          <w:rtl/>
        </w:rPr>
        <w:t>המפקד</w:t>
      </w:r>
      <w:r w:rsidRPr="00E56C39">
        <w:rPr>
          <w:rFonts w:ascii="Century" w:hAnsi="Century" w:cs="Miriam"/>
          <w:b/>
          <w:spacing w:val="0"/>
          <w:szCs w:val="24"/>
          <w:rtl/>
        </w:rPr>
        <w:t xml:space="preserve"> </w:t>
      </w:r>
      <w:r w:rsidRPr="00E56C39">
        <w:rPr>
          <w:rFonts w:ascii="Century" w:hAnsi="Century" w:cs="Miriam" w:hint="eastAsia"/>
          <w:b/>
          <w:spacing w:val="0"/>
          <w:szCs w:val="24"/>
          <w:rtl/>
        </w:rPr>
        <w:t>הצבאי</w:t>
      </w:r>
      <w:r w:rsidRPr="00E56C39">
        <w:rPr>
          <w:rFonts w:ascii="Century" w:hAnsi="Century" w:cs="Miriam"/>
          <w:b/>
          <w:spacing w:val="0"/>
          <w:szCs w:val="24"/>
          <w:rtl/>
        </w:rPr>
        <w:t xml:space="preserve"> </w:t>
      </w:r>
      <w:r w:rsidRPr="00E56C39">
        <w:rPr>
          <w:rFonts w:ascii="Century" w:hAnsi="Century" w:cs="Miriam" w:hint="eastAsia"/>
          <w:b/>
          <w:spacing w:val="0"/>
          <w:szCs w:val="24"/>
          <w:rtl/>
        </w:rPr>
        <w:t>לאזור</w:t>
      </w:r>
      <w:r w:rsidRPr="00E56C39">
        <w:rPr>
          <w:rFonts w:ascii="Century" w:hAnsi="Century" w:cs="Miriam"/>
          <w:b/>
          <w:spacing w:val="0"/>
          <w:szCs w:val="24"/>
          <w:rtl/>
        </w:rPr>
        <w:t xml:space="preserve"> </w:t>
      </w:r>
      <w:r w:rsidRPr="00E56C39">
        <w:rPr>
          <w:rFonts w:ascii="Century" w:hAnsi="Century" w:cs="Miriam" w:hint="eastAsia"/>
          <w:b/>
          <w:spacing w:val="0"/>
          <w:szCs w:val="24"/>
          <w:rtl/>
        </w:rPr>
        <w:t>הגדה</w:t>
      </w:r>
      <w:r w:rsidRPr="00E56C39">
        <w:rPr>
          <w:rFonts w:ascii="Century" w:hAnsi="Century" w:cs="Miriam"/>
          <w:b/>
          <w:spacing w:val="0"/>
          <w:szCs w:val="24"/>
          <w:rtl/>
        </w:rPr>
        <w:t xml:space="preserve"> </w:t>
      </w:r>
      <w:r w:rsidRPr="00E56C39">
        <w:rPr>
          <w:rFonts w:ascii="Century" w:hAnsi="Century" w:cs="Miriam" w:hint="eastAsia"/>
          <w:b/>
          <w:spacing w:val="0"/>
          <w:szCs w:val="24"/>
          <w:rtl/>
        </w:rPr>
        <w:t>המערבית</w:t>
      </w:r>
      <w:r>
        <w:rPr>
          <w:rFonts w:hint="cs"/>
          <w:rtl/>
        </w:rPr>
        <w:t>, פסקה 11</w:t>
      </w:r>
      <w:r w:rsidRPr="008C45DC">
        <w:rPr>
          <w:rFonts w:hint="cs"/>
          <w:rtl/>
        </w:rPr>
        <w:t xml:space="preserve"> </w:t>
      </w:r>
      <w:r>
        <w:rPr>
          <w:rFonts w:hint="cs"/>
          <w:rtl/>
        </w:rPr>
        <w:t xml:space="preserve">(11.4.2019); עניין </w:t>
      </w:r>
      <w:r w:rsidRPr="00E56C39">
        <w:rPr>
          <w:rFonts w:ascii="Century" w:hAnsi="Century" w:cs="Miriam" w:hint="eastAsia"/>
          <w:b/>
          <w:spacing w:val="0"/>
          <w:szCs w:val="24"/>
          <w:rtl/>
        </w:rPr>
        <w:t>מרעי</w:t>
      </w:r>
      <w:r>
        <w:rPr>
          <w:rFonts w:hint="cs"/>
          <w:rtl/>
        </w:rPr>
        <w:t xml:space="preserve">, בפסקאות 16-14). אולם גם אם ניתן להסתפק בזיקה "רופפת" של המפגע לבית המגורים שעומד להיהרס, זיקה כזו היא תנאי להריסה, ולא ניתן לכן להרוס לצורך הדוגמה את בית הוריו של המפגע אם אין לו כל זיקת מגורים אליו. זאת גם אם התוצאה של הריסה כזו הייתה מביאה לקידום ברור של מטרת ההרתעה. </w:t>
      </w:r>
    </w:p>
    <w:p w:rsidR="00AD2F60" w:rsidRDefault="00AD2F60" w:rsidP="00AD2F60">
      <w:pPr>
        <w:pStyle w:val="Ruller41"/>
        <w:rPr>
          <w:rtl/>
        </w:rPr>
      </w:pPr>
    </w:p>
    <w:p w:rsidR="00AD2F60" w:rsidRDefault="00AD2F60" w:rsidP="00AD2F60">
      <w:pPr>
        <w:pStyle w:val="Ruller4"/>
      </w:pPr>
      <w:r>
        <w:rPr>
          <w:rFonts w:hint="cs"/>
          <w:rtl/>
        </w:rPr>
        <w:t xml:space="preserve">המסקנה של האמור לעיל היא כי אף שהפסיקה חזרה והדגישה כי מטרת ההריסה היא הרתעתית ולא </w:t>
      </w:r>
      <w:proofErr w:type="spellStart"/>
      <w:r>
        <w:rPr>
          <w:rFonts w:hint="cs"/>
          <w:rtl/>
        </w:rPr>
        <w:t>עונשית</w:t>
      </w:r>
      <w:proofErr w:type="spellEnd"/>
      <w:r>
        <w:rPr>
          <w:rFonts w:hint="cs"/>
          <w:rtl/>
        </w:rPr>
        <w:t xml:space="preserve">, חייב להיות קשר בין מי שביצע את הפיגוע לבין הבית שייהרס. הדרישה הזו משליכה על המידתיות של ההריסה, והופכת את ההריסה למידתית יותר. נראה כי מקורה של הדרישה הזו הוא בעיקרון הברור והידוע הקושר בין עונש לבין מי שביצע את המעשה האסור. כך, גם בדיני העונשין, השיקול של "הרתעת הרבים" חל רק ביחס לעונשו של מבצע העבירה, וממילא לא ניתן לחרוג לצורך הרתעה כזו מהעונש ההולם על המעשה שבוצע (ראו סעיף 40ז לחוק העונשין התשל"ז-1977, הקובע כי הרתעת הרבים היא שיקול בענישה אך זאת כל עוד העונש אינו חורג ממתחם העונש ההולם). דברים אלה אף עולים בקנה אחד עם העיקרון </w:t>
      </w:r>
      <w:proofErr w:type="spellStart"/>
      <w:r>
        <w:rPr>
          <w:rFonts w:hint="cs"/>
          <w:rtl/>
        </w:rPr>
        <w:t>התנ"כי</w:t>
      </w:r>
      <w:proofErr w:type="spellEnd"/>
      <w:r>
        <w:rPr>
          <w:rFonts w:hint="cs"/>
          <w:rtl/>
        </w:rPr>
        <w:t xml:space="preserve"> שלפיו: "</w:t>
      </w:r>
      <w:r w:rsidRPr="009E30ED">
        <w:rPr>
          <w:rFonts w:ascii="Century" w:hAnsi="Century" w:cs="Miriam" w:hint="cs"/>
          <w:b/>
          <w:spacing w:val="0"/>
          <w:szCs w:val="24"/>
          <w:rtl/>
        </w:rPr>
        <w:t xml:space="preserve">לא יומתו אבות על בנים ובנים לא יומתו על </w:t>
      </w:r>
      <w:r w:rsidRPr="00D26BDC">
        <w:rPr>
          <w:rFonts w:ascii="Century" w:hAnsi="Century" w:cs="Miriam" w:hint="cs"/>
          <w:b/>
          <w:spacing w:val="0"/>
          <w:szCs w:val="24"/>
          <w:rtl/>
        </w:rPr>
        <w:t xml:space="preserve">אבות </w:t>
      </w:r>
      <w:r w:rsidRPr="00CC73D1">
        <w:rPr>
          <w:rFonts w:ascii="Century" w:hAnsi="Century" w:cs="Miriam" w:hint="cs"/>
          <w:b/>
          <w:spacing w:val="0"/>
          <w:szCs w:val="24"/>
          <w:rtl/>
        </w:rPr>
        <w:t>איש בחטאו יומתו</w:t>
      </w:r>
      <w:r w:rsidRPr="00CC73D1">
        <w:rPr>
          <w:rFonts w:hint="cs"/>
          <w:rtl/>
        </w:rPr>
        <w:t>" (דברים כ"ד ט"ז</w:t>
      </w:r>
      <w:r>
        <w:rPr>
          <w:rFonts w:hint="cs"/>
          <w:rtl/>
        </w:rPr>
        <w:t>).</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הריסת ביתו של מי שלא מיוחסת לו כל עבירה או מעשה בלתי חוקי וכאשר מדובר בבית שלמפגע </w:t>
      </w:r>
      <w:r w:rsidRPr="0045742D">
        <w:rPr>
          <w:rFonts w:ascii="Century" w:hAnsi="Century" w:cs="Miriam" w:hint="cs"/>
          <w:b/>
          <w:spacing w:val="0"/>
          <w:sz w:val="22"/>
          <w:szCs w:val="24"/>
          <w:rtl/>
        </w:rPr>
        <w:t>אין כל קשר אליו</w:t>
      </w:r>
      <w:r>
        <w:rPr>
          <w:rFonts w:hint="cs"/>
          <w:rtl/>
        </w:rPr>
        <w:t xml:space="preserve">, וזאת </w:t>
      </w:r>
      <w:r>
        <w:rPr>
          <w:rtl/>
        </w:rPr>
        <w:t>–</w:t>
      </w:r>
      <w:r>
        <w:rPr>
          <w:rFonts w:hint="cs"/>
          <w:rtl/>
        </w:rPr>
        <w:t xml:space="preserve"> רק כדי למנוע ממפגע עתידי פוטנציאלי אחר לבצע את המעשה המחריד שהוא מתכוון לבצע, מנוגדת לעקרונות אלה. מדובר בעקרונות הנובעים </w:t>
      </w:r>
      <w:proofErr w:type="spellStart"/>
      <w:r>
        <w:rPr>
          <w:rFonts w:hint="cs"/>
          <w:rtl/>
        </w:rPr>
        <w:t>מהיותה</w:t>
      </w:r>
      <w:proofErr w:type="spellEnd"/>
      <w:r>
        <w:rPr>
          <w:rFonts w:hint="cs"/>
          <w:rtl/>
        </w:rPr>
        <w:t xml:space="preserve"> של מדינת ישראל </w:t>
      </w:r>
      <w:r>
        <w:rPr>
          <w:rtl/>
        </w:rPr>
        <w:t>–</w:t>
      </w:r>
      <w:r>
        <w:rPr>
          <w:rFonts w:hint="cs"/>
          <w:rtl/>
        </w:rPr>
        <w:t xml:space="preserve"> מדינה יהודית ודמוקרטית, ובתוך כך </w:t>
      </w:r>
      <w:r>
        <w:rPr>
          <w:rtl/>
        </w:rPr>
        <w:t>–</w:t>
      </w:r>
      <w:r>
        <w:rPr>
          <w:rFonts w:hint="cs"/>
          <w:rtl/>
        </w:rPr>
        <w:t xml:space="preserve"> עקרונות המשפט החוקתי ובפרט עקרון היסוד של מידתיות (</w:t>
      </w:r>
      <w:r w:rsidRPr="00CC73D1">
        <w:rPr>
          <w:rFonts w:hint="cs"/>
          <w:rtl/>
        </w:rPr>
        <w:t xml:space="preserve">עניין </w:t>
      </w:r>
      <w:r w:rsidRPr="003F1CD0">
        <w:rPr>
          <w:rFonts w:ascii="Century" w:hAnsi="Century" w:cs="Miriam" w:hint="cs"/>
          <w:b/>
          <w:spacing w:val="0"/>
          <w:sz w:val="22"/>
          <w:szCs w:val="24"/>
          <w:rtl/>
        </w:rPr>
        <w:t xml:space="preserve">אבו </w:t>
      </w:r>
      <w:proofErr w:type="spellStart"/>
      <w:r w:rsidRPr="003F1CD0">
        <w:rPr>
          <w:rFonts w:ascii="Century" w:hAnsi="Century" w:cs="Miriam" w:hint="eastAsia"/>
          <w:b/>
          <w:spacing w:val="0"/>
          <w:sz w:val="22"/>
          <w:szCs w:val="24"/>
          <w:rtl/>
        </w:rPr>
        <w:t>ג</w:t>
      </w:r>
      <w:r w:rsidRPr="003F1CD0">
        <w:rPr>
          <w:rFonts w:ascii="Century" w:hAnsi="Century" w:cs="Miriam"/>
          <w:b/>
          <w:spacing w:val="0"/>
          <w:sz w:val="22"/>
          <w:szCs w:val="24"/>
          <w:rtl/>
        </w:rPr>
        <w:t>'מל</w:t>
      </w:r>
      <w:proofErr w:type="spellEnd"/>
      <w:r w:rsidRPr="003F1CD0">
        <w:rPr>
          <w:rtl/>
        </w:rPr>
        <w:t xml:space="preserve">, </w:t>
      </w:r>
      <w:r>
        <w:rPr>
          <w:rFonts w:hint="cs"/>
          <w:rtl/>
        </w:rPr>
        <w:t>ב</w:t>
      </w:r>
      <w:r w:rsidRPr="003F1CD0">
        <w:rPr>
          <w:rFonts w:hint="eastAsia"/>
          <w:rtl/>
        </w:rPr>
        <w:t>פסק</w:t>
      </w:r>
      <w:r w:rsidRPr="003F1CD0">
        <w:rPr>
          <w:rFonts w:hint="cs"/>
          <w:rtl/>
        </w:rPr>
        <w:t>אות 13-11</w:t>
      </w:r>
      <w:r w:rsidRPr="003F1CD0">
        <w:rPr>
          <w:rtl/>
        </w:rPr>
        <w:t xml:space="preserve"> ל</w:t>
      </w:r>
      <w:r>
        <w:rPr>
          <w:rFonts w:hint="cs"/>
          <w:rtl/>
        </w:rPr>
        <w:t>חוות דעתו</w:t>
      </w:r>
      <w:r w:rsidRPr="003F1CD0">
        <w:rPr>
          <w:rtl/>
        </w:rPr>
        <w:t xml:space="preserve"> של השופט </w:t>
      </w:r>
      <w:r w:rsidRPr="00DD6AC8">
        <w:rPr>
          <w:rFonts w:ascii="Century" w:hAnsi="Century" w:cs="Miriam" w:hint="eastAsia"/>
          <w:b/>
          <w:spacing w:val="0"/>
          <w:sz w:val="22"/>
          <w:szCs w:val="24"/>
          <w:rtl/>
        </w:rPr>
        <w:t>מזוז</w:t>
      </w:r>
      <w:r w:rsidRPr="003F1CD0">
        <w:rPr>
          <w:rtl/>
        </w:rPr>
        <w:t xml:space="preserve"> </w:t>
      </w:r>
      <w:r w:rsidRPr="003F1CD0">
        <w:rPr>
          <w:rFonts w:hint="cs"/>
          <w:rtl/>
        </w:rPr>
        <w:t>וההפניות שם)</w:t>
      </w:r>
      <w:r>
        <w:rPr>
          <w:rFonts w:hint="cs"/>
          <w:rtl/>
        </w:rPr>
        <w:t xml:space="preserve">. </w:t>
      </w:r>
      <w:proofErr w:type="spellStart"/>
      <w:r>
        <w:rPr>
          <w:rFonts w:hint="cs"/>
          <w:rtl/>
        </w:rPr>
        <w:t>ככזו</w:t>
      </w:r>
      <w:proofErr w:type="spellEnd"/>
      <w:r>
        <w:rPr>
          <w:rFonts w:hint="cs"/>
          <w:rtl/>
        </w:rPr>
        <w:t xml:space="preserve">, ההריסה אינה מידתית, וזאת מכוח הקביעה בתקנה 119 עצמה. </w:t>
      </w:r>
      <w:r>
        <w:rPr>
          <w:rtl/>
        </w:rPr>
        <w:tab/>
      </w:r>
      <w:r>
        <w:rPr>
          <w:rFonts w:hint="cs"/>
          <w:rtl/>
        </w:rPr>
        <w:t xml:space="preserve"> </w:t>
      </w:r>
    </w:p>
    <w:p w:rsidR="00AD2F60" w:rsidRDefault="00AD2F60" w:rsidP="00AD2F60">
      <w:pPr>
        <w:pStyle w:val="Ruller41"/>
        <w:rPr>
          <w:rtl/>
        </w:rPr>
      </w:pPr>
    </w:p>
    <w:p w:rsidR="00AD2F60" w:rsidRDefault="00AD2F60" w:rsidP="00AD2F60">
      <w:pPr>
        <w:pStyle w:val="Ruller4"/>
        <w:rPr>
          <w:rtl/>
        </w:rPr>
      </w:pPr>
      <w:r w:rsidRPr="0021726B">
        <w:rPr>
          <w:rFonts w:ascii="Century" w:hAnsi="Century" w:cs="Miriam" w:hint="cs"/>
          <w:b/>
          <w:spacing w:val="0"/>
          <w:sz w:val="22"/>
          <w:szCs w:val="24"/>
          <w:rtl/>
        </w:rPr>
        <w:lastRenderedPageBreak/>
        <w:t>שנית</w:t>
      </w:r>
      <w:r>
        <w:rPr>
          <w:rFonts w:hint="cs"/>
          <w:rtl/>
        </w:rPr>
        <w:t xml:space="preserve">, מעבר לדרישה הקיימת בתקנה לזיקת מגורים של המפגע לבית שהמשיב מבקש להרוס, התייחסה ההלכה הפסוקה לשאלת ידיעתם והשתתפותם של בני הבית </w:t>
      </w:r>
      <w:proofErr w:type="spellStart"/>
      <w:r>
        <w:rPr>
          <w:rFonts w:hint="cs"/>
          <w:rtl/>
        </w:rPr>
        <w:t>בתוכניותיו</w:t>
      </w:r>
      <w:proofErr w:type="spellEnd"/>
      <w:r>
        <w:rPr>
          <w:rFonts w:hint="cs"/>
          <w:rtl/>
        </w:rPr>
        <w:t xml:space="preserve"> הרצחניות של המפגע. </w:t>
      </w:r>
    </w:p>
    <w:p w:rsidR="00AD2F60" w:rsidRPr="0021726B" w:rsidRDefault="00AD2F60" w:rsidP="00AD2F60">
      <w:pPr>
        <w:pStyle w:val="Ruller41"/>
        <w:rPr>
          <w:rtl/>
        </w:rPr>
      </w:pPr>
    </w:p>
    <w:p w:rsidR="00AD2F60" w:rsidRDefault="00AD2F60" w:rsidP="00AD2F60">
      <w:pPr>
        <w:pStyle w:val="Ruller4"/>
        <w:numPr>
          <w:ilvl w:val="0"/>
          <w:numId w:val="0"/>
        </w:numPr>
        <w:rPr>
          <w:rtl/>
        </w:rPr>
      </w:pPr>
      <w:r>
        <w:rPr>
          <w:rtl/>
        </w:rPr>
        <w:tab/>
      </w:r>
      <w:r>
        <w:rPr>
          <w:rFonts w:hint="cs"/>
          <w:rtl/>
        </w:rPr>
        <w:t xml:space="preserve">כך, גם כאשר למפגע יש זיקת מגורים לבית, הריסתו תפגע כמובן גם בבני משפחה אחרים המתגוררים עמו. משכך יש הרואים בהריסת בתים של בני משפחת המפגע "ענישה קולקטיבית", קרי פעולה המתייחסת אל בני המשפחה של המפגע כאל אמצעי תוך פגיעה אסורה בזכויותיהם (על הביקורת המועלית כנגד תכלית ההרתעה ראו: עניין </w:t>
      </w:r>
      <w:r w:rsidRPr="009672A2">
        <w:rPr>
          <w:rFonts w:ascii="Century" w:hAnsi="Century" w:cs="Miriam" w:hint="eastAsia"/>
          <w:b/>
          <w:spacing w:val="0"/>
          <w:szCs w:val="24"/>
          <w:rtl/>
        </w:rPr>
        <w:t>המוקד</w:t>
      </w:r>
      <w:r w:rsidRPr="009672A2">
        <w:rPr>
          <w:rFonts w:ascii="Century" w:hAnsi="Century" w:cs="Miriam"/>
          <w:b/>
          <w:spacing w:val="0"/>
          <w:szCs w:val="24"/>
          <w:rtl/>
        </w:rPr>
        <w:t xml:space="preserve"> </w:t>
      </w:r>
      <w:r w:rsidRPr="009672A2">
        <w:rPr>
          <w:rFonts w:ascii="Century" w:hAnsi="Century" w:cs="Miriam" w:hint="eastAsia"/>
          <w:b/>
          <w:spacing w:val="0"/>
          <w:szCs w:val="24"/>
          <w:rtl/>
        </w:rPr>
        <w:t>להגנת</w:t>
      </w:r>
      <w:r w:rsidRPr="009672A2">
        <w:rPr>
          <w:rFonts w:ascii="Century" w:hAnsi="Century" w:cs="Miriam"/>
          <w:b/>
          <w:spacing w:val="0"/>
          <w:szCs w:val="24"/>
          <w:rtl/>
        </w:rPr>
        <w:t xml:space="preserve"> </w:t>
      </w:r>
      <w:r w:rsidRPr="009672A2">
        <w:rPr>
          <w:rFonts w:ascii="Century" w:hAnsi="Century" w:cs="Miriam" w:hint="eastAsia"/>
          <w:b/>
          <w:spacing w:val="0"/>
          <w:szCs w:val="24"/>
          <w:rtl/>
        </w:rPr>
        <w:t>הפרט</w:t>
      </w:r>
      <w:r>
        <w:rPr>
          <w:rFonts w:hint="cs"/>
          <w:rtl/>
        </w:rPr>
        <w:t xml:space="preserve">, פסקה 4 לחוות דעתה של השופטת </w:t>
      </w:r>
      <w:r w:rsidRPr="0021726B">
        <w:rPr>
          <w:rFonts w:ascii="Century" w:hAnsi="Century" w:cs="Miriam" w:hint="eastAsia"/>
          <w:b/>
          <w:spacing w:val="0"/>
          <w:sz w:val="22"/>
          <w:szCs w:val="24"/>
          <w:rtl/>
        </w:rPr>
        <w:t>א</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חיות</w:t>
      </w:r>
      <w:r>
        <w:rPr>
          <w:rFonts w:hint="cs"/>
          <w:rtl/>
        </w:rPr>
        <w:t xml:space="preserve">. ראו גם: יוגב תובל "הריסת בתים </w:t>
      </w:r>
      <w:r>
        <w:rPr>
          <w:rtl/>
        </w:rPr>
        <w:t>–</w:t>
      </w:r>
      <w:r>
        <w:rPr>
          <w:rFonts w:hint="cs"/>
          <w:rtl/>
        </w:rPr>
        <w:t xml:space="preserve"> אמצעי לגיטימי למאבק בטרור או ענישה קולקטיבית" </w:t>
      </w:r>
      <w:r w:rsidRPr="00E56C39">
        <w:rPr>
          <w:rFonts w:ascii="Century" w:hAnsi="Century" w:cs="Miriam" w:hint="eastAsia"/>
          <w:b/>
          <w:spacing w:val="0"/>
          <w:sz w:val="22"/>
          <w:szCs w:val="24"/>
          <w:rtl/>
        </w:rPr>
        <w:t>אמצעים</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חריגים</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למאבק</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בטרור</w:t>
      </w:r>
      <w:r>
        <w:rPr>
          <w:rFonts w:hint="cs"/>
          <w:rtl/>
        </w:rPr>
        <w:t xml:space="preserve"> 189 (המכון הישראלי לדמוקרטיה, 2010); עמיחי כהן וטל </w:t>
      </w:r>
      <w:proofErr w:type="spellStart"/>
      <w:r>
        <w:rPr>
          <w:rFonts w:hint="cs"/>
          <w:rtl/>
        </w:rPr>
        <w:t>מימרן</w:t>
      </w:r>
      <w:proofErr w:type="spellEnd"/>
      <w:r>
        <w:rPr>
          <w:rFonts w:hint="cs"/>
          <w:rtl/>
        </w:rPr>
        <w:t xml:space="preserve"> "עלות ללא תועלת במדיניות הריסת הבתים: בעקבות בג"ץ 4597/14 מוחמד </w:t>
      </w:r>
      <w:proofErr w:type="spellStart"/>
      <w:r>
        <w:rPr>
          <w:rFonts w:hint="cs"/>
          <w:rtl/>
        </w:rPr>
        <w:t>חסאן</w:t>
      </w:r>
      <w:proofErr w:type="spellEnd"/>
      <w:r>
        <w:rPr>
          <w:rFonts w:hint="cs"/>
          <w:rtl/>
        </w:rPr>
        <w:t xml:space="preserve"> חליל </w:t>
      </w:r>
      <w:proofErr w:type="spellStart"/>
      <w:r>
        <w:rPr>
          <w:rFonts w:hint="cs"/>
          <w:rtl/>
        </w:rPr>
        <w:t>עואודה</w:t>
      </w:r>
      <w:proofErr w:type="spellEnd"/>
      <w:r>
        <w:rPr>
          <w:rFonts w:hint="cs"/>
          <w:rtl/>
        </w:rPr>
        <w:t xml:space="preserve"> נ' המפקד הצבאי לאזור הגדה המערבית" </w:t>
      </w:r>
      <w:r w:rsidRPr="00E56C39">
        <w:rPr>
          <w:rFonts w:ascii="Century" w:hAnsi="Century" w:cs="Miriam" w:hint="eastAsia"/>
          <w:b/>
          <w:spacing w:val="0"/>
          <w:sz w:val="22"/>
          <w:szCs w:val="24"/>
          <w:rtl/>
        </w:rPr>
        <w:t>המשפט</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ברשת</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מבזקי</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הארות</w:t>
      </w:r>
      <w:r w:rsidRPr="00E56C39">
        <w:rPr>
          <w:rFonts w:ascii="Century" w:hAnsi="Century" w:cs="Miriam"/>
          <w:b/>
          <w:spacing w:val="0"/>
          <w:sz w:val="22"/>
          <w:szCs w:val="24"/>
          <w:rtl/>
        </w:rPr>
        <w:t xml:space="preserve"> </w:t>
      </w:r>
      <w:r w:rsidRPr="00E56C39">
        <w:rPr>
          <w:rFonts w:ascii="Century" w:hAnsi="Century" w:cs="Miriam" w:hint="eastAsia"/>
          <w:b/>
          <w:spacing w:val="0"/>
          <w:sz w:val="22"/>
          <w:szCs w:val="24"/>
          <w:rtl/>
        </w:rPr>
        <w:t>פסיקה</w:t>
      </w:r>
      <w:r w:rsidRPr="00E56C39">
        <w:rPr>
          <w:rFonts w:ascii="Century" w:hAnsi="Century" w:cs="Miriam"/>
          <w:b/>
          <w:spacing w:val="0"/>
          <w:sz w:val="22"/>
          <w:szCs w:val="24"/>
          <w:rtl/>
        </w:rPr>
        <w:t xml:space="preserve"> </w:t>
      </w:r>
      <w:r>
        <w:rPr>
          <w:rFonts w:hint="cs"/>
          <w:rtl/>
        </w:rPr>
        <w:t xml:space="preserve">31 (ספטמבר 2014)). </w:t>
      </w:r>
    </w:p>
    <w:p w:rsidR="00AD2F60" w:rsidRDefault="00AD2F60" w:rsidP="00AD2F60">
      <w:pPr>
        <w:pStyle w:val="Ruller41"/>
        <w:rPr>
          <w:rtl/>
        </w:rPr>
      </w:pPr>
    </w:p>
    <w:p w:rsidR="00AD2F60" w:rsidRDefault="00AD2F60" w:rsidP="00AD2F60">
      <w:pPr>
        <w:pStyle w:val="Ruller4"/>
        <w:numPr>
          <w:ilvl w:val="0"/>
          <w:numId w:val="0"/>
        </w:numPr>
        <w:rPr>
          <w:rtl/>
        </w:rPr>
      </w:pPr>
      <w:r>
        <w:rPr>
          <w:rtl/>
        </w:rPr>
        <w:tab/>
      </w:r>
      <w:r>
        <w:rPr>
          <w:rFonts w:hint="cs"/>
          <w:rtl/>
        </w:rPr>
        <w:t xml:space="preserve">לכן, כדי שאמצעי ההריסה יגשים את התכלית לשמה נועדה התקנה </w:t>
      </w:r>
      <w:r>
        <w:rPr>
          <w:rtl/>
        </w:rPr>
        <w:t>–</w:t>
      </w:r>
      <w:r>
        <w:rPr>
          <w:rFonts w:hint="cs"/>
          <w:rtl/>
        </w:rPr>
        <w:t xml:space="preserve"> התכלית ההרתעתית, ויצמצם את הפגיעה הנלווית לה כלפי ה"קולקטיב" שלא חטא, יש לטעמי חשיבות רבה לשיקול של מצבם הנפשי והתודעתי של בני הבית ובעיקר של בעלי הבית, ראשי המשפחה שיתר בני המשפחה חיים בביתם, ביחס למעשה הטרור שביצע המפגע. גם שיקול זה נשקל במסגרת בחינת המידתיות של צו ההריסה, כפי שאפרט להלן.  </w:t>
      </w:r>
    </w:p>
    <w:p w:rsidR="00AD2F60" w:rsidRDefault="00AD2F60" w:rsidP="00AD2F60">
      <w:pPr>
        <w:pStyle w:val="Ruller41"/>
        <w:rPr>
          <w:rtl/>
        </w:rPr>
      </w:pPr>
      <w:r>
        <w:rPr>
          <w:rtl/>
        </w:rPr>
        <w:tab/>
      </w:r>
    </w:p>
    <w:p w:rsidR="00AD2F60" w:rsidRDefault="00AD2F60" w:rsidP="00AD2F60">
      <w:pPr>
        <w:pStyle w:val="Ruller41"/>
        <w:rPr>
          <w:rFonts w:ascii="Century" w:hAnsi="Century" w:cs="Miriam"/>
          <w:b/>
          <w:spacing w:val="0"/>
          <w:szCs w:val="24"/>
          <w:rtl/>
        </w:rPr>
      </w:pPr>
      <w:r>
        <w:rPr>
          <w:rFonts w:ascii="Century" w:hAnsi="Century" w:cs="Miriam" w:hint="cs"/>
          <w:b/>
          <w:spacing w:val="0"/>
          <w:szCs w:val="24"/>
          <w:rtl/>
        </w:rPr>
        <w:t xml:space="preserve">מטרת ההרתעה </w:t>
      </w:r>
      <w:r>
        <w:rPr>
          <w:rFonts w:ascii="Century" w:hAnsi="Century" w:cs="Miriam"/>
          <w:b/>
          <w:spacing w:val="0"/>
          <w:szCs w:val="24"/>
          <w:rtl/>
        </w:rPr>
        <w:t>–</w:t>
      </w:r>
      <w:r>
        <w:rPr>
          <w:rFonts w:ascii="Century" w:hAnsi="Century" w:cs="Miriam" w:hint="cs"/>
          <w:b/>
          <w:spacing w:val="0"/>
          <w:szCs w:val="24"/>
          <w:rtl/>
        </w:rPr>
        <w:t xml:space="preserve"> </w:t>
      </w:r>
      <w:r w:rsidRPr="00DF3727">
        <w:rPr>
          <w:rFonts w:ascii="Century" w:hAnsi="Century" w:cs="Miriam" w:hint="cs"/>
          <w:b/>
          <w:spacing w:val="0"/>
          <w:szCs w:val="24"/>
          <w:rtl/>
        </w:rPr>
        <w:t>האם</w:t>
      </w:r>
      <w:r>
        <w:rPr>
          <w:rFonts w:ascii="Century" w:hAnsi="Century" w:cs="Miriam" w:hint="cs"/>
          <w:b/>
          <w:spacing w:val="0"/>
          <w:szCs w:val="24"/>
          <w:rtl/>
        </w:rPr>
        <w:t xml:space="preserve"> </w:t>
      </w:r>
      <w:r w:rsidRPr="00DF3727">
        <w:rPr>
          <w:rFonts w:ascii="Century" w:hAnsi="Century" w:cs="Miriam" w:hint="cs"/>
          <w:b/>
          <w:spacing w:val="0"/>
          <w:szCs w:val="24"/>
          <w:rtl/>
        </w:rPr>
        <w:t>השימוש בתקנה אכן מרתיע?</w:t>
      </w:r>
    </w:p>
    <w:p w:rsidR="00AD2F60" w:rsidRPr="00DF3727" w:rsidRDefault="00AD2F60" w:rsidP="00AD2F60">
      <w:pPr>
        <w:pStyle w:val="Ruller41"/>
        <w:rPr>
          <w:rFonts w:ascii="Century" w:hAnsi="Century" w:cs="Miriam"/>
          <w:b/>
          <w:spacing w:val="0"/>
          <w:szCs w:val="24"/>
          <w:rtl/>
        </w:rPr>
      </w:pPr>
    </w:p>
    <w:p w:rsidR="00AD2F60" w:rsidRDefault="00AD2F60" w:rsidP="00AD2F60">
      <w:pPr>
        <w:pStyle w:val="Ruller4"/>
        <w:rPr>
          <w:rtl/>
        </w:rPr>
      </w:pPr>
      <w:r>
        <w:rPr>
          <w:rFonts w:hint="cs"/>
          <w:rtl/>
        </w:rPr>
        <w:t xml:space="preserve">גם שאלה זו נדונה לא אחת בפסיקתו של בית משפט זה, ואין בכוונתי לכן לחזור ולהידרש אליה בפירוט. אסתפק בכך שאציין כי הספרות בנושא זה מתייחסת לכוח המרתיע של הריסת בתים, כמו גם לאפשרות שהריסה כזו תשיג דווקא את המטרה ההפוכה. הפסיקה עמדה על כך כי ככלל, שאלת יעילות ההרתעה נתונה להערכתם של גורמי הביטחון, שזהו תחום מומחיותם, ובית המשפט ייטה שלא להתערב בה (ראו למשל: עניין </w:t>
      </w:r>
      <w:r w:rsidRPr="00FA013D">
        <w:rPr>
          <w:rFonts w:ascii="Century" w:hAnsi="Century" w:cs="Miriam" w:hint="cs"/>
          <w:b/>
          <w:spacing w:val="0"/>
          <w:sz w:val="22"/>
          <w:szCs w:val="24"/>
          <w:rtl/>
        </w:rPr>
        <w:t>המוקד להגנת הפרט</w:t>
      </w:r>
      <w:r>
        <w:rPr>
          <w:rFonts w:hint="cs"/>
          <w:rtl/>
        </w:rPr>
        <w:t xml:space="preserve">, פסקה </w:t>
      </w:r>
      <w:proofErr w:type="spellStart"/>
      <w:r>
        <w:rPr>
          <w:rFonts w:hint="cs"/>
          <w:rtl/>
        </w:rPr>
        <w:t>יז</w:t>
      </w:r>
      <w:proofErr w:type="spellEnd"/>
      <w:r>
        <w:rPr>
          <w:rFonts w:hint="cs"/>
          <w:rtl/>
        </w:rPr>
        <w:t xml:space="preserve"> לפסק דינו של השופט </w:t>
      </w:r>
      <w:r w:rsidRPr="00FA013D">
        <w:rPr>
          <w:rFonts w:ascii="Century" w:hAnsi="Century" w:cs="Miriam" w:hint="cs"/>
          <w:b/>
          <w:spacing w:val="0"/>
          <w:sz w:val="22"/>
          <w:szCs w:val="24"/>
          <w:rtl/>
        </w:rPr>
        <w:t>רובינשטיין</w:t>
      </w:r>
      <w:r>
        <w:rPr>
          <w:rFonts w:hint="cs"/>
          <w:rtl/>
        </w:rPr>
        <w:t xml:space="preserve">; עניין </w:t>
      </w:r>
      <w:proofErr w:type="spellStart"/>
      <w:r w:rsidRPr="009672A2">
        <w:rPr>
          <w:rFonts w:ascii="Century" w:hAnsi="Century" w:cs="Miriam" w:hint="eastAsia"/>
          <w:b/>
          <w:spacing w:val="0"/>
          <w:sz w:val="22"/>
          <w:szCs w:val="24"/>
          <w:rtl/>
        </w:rPr>
        <w:t>קואסמה</w:t>
      </w:r>
      <w:proofErr w:type="spellEnd"/>
      <w:r>
        <w:rPr>
          <w:rFonts w:hint="cs"/>
          <w:rtl/>
        </w:rPr>
        <w:t xml:space="preserve">, פסקה 25). גישתו העדכנית של המשיב, הנתמכת בראיות חסויות שהוצגו לבית המשפט, היא כי הכוח המרתיע של ההריסה עולה על "כוח השנאה" שעלול דווקא לעודד מקרי טרור נוספים, וכי לכן האפקט הכולל של הריסת בתי מחבלים הוא חיובי וממתן את מספר מקרי הטרור ולא להיפך. </w:t>
      </w:r>
    </w:p>
    <w:p w:rsidR="00AD2F60" w:rsidRDefault="00AD2F60" w:rsidP="00AD2F60">
      <w:pPr>
        <w:pStyle w:val="Ruller41"/>
        <w:rPr>
          <w:rtl/>
        </w:rPr>
      </w:pPr>
      <w:r>
        <w:rPr>
          <w:rtl/>
        </w:rPr>
        <w:tab/>
      </w:r>
    </w:p>
    <w:p w:rsidR="00AD2F60" w:rsidRDefault="00AD2F60" w:rsidP="00AD2F60">
      <w:pPr>
        <w:pStyle w:val="Ruller41"/>
        <w:rPr>
          <w:rtl/>
        </w:rPr>
      </w:pPr>
      <w:r>
        <w:rPr>
          <w:rtl/>
        </w:rPr>
        <w:lastRenderedPageBreak/>
        <w:tab/>
      </w:r>
      <w:r>
        <w:rPr>
          <w:rFonts w:hint="cs"/>
          <w:rtl/>
        </w:rPr>
        <w:t xml:space="preserve">חרף האמור, מטבע הדברים קיים קושי למדוד את אפקט ההרתעה של תקנה 119. יפים לעניין זה הדברים אותם ציינה השופטת </w:t>
      </w:r>
      <w:r w:rsidRPr="001E4D06">
        <w:rPr>
          <w:rFonts w:ascii="Century" w:hAnsi="Century" w:cs="Miriam" w:hint="cs"/>
          <w:b/>
          <w:spacing w:val="0"/>
          <w:szCs w:val="24"/>
          <w:rtl/>
        </w:rPr>
        <w:t xml:space="preserve">ברון </w:t>
      </w:r>
      <w:r>
        <w:rPr>
          <w:rFonts w:hint="cs"/>
          <w:rtl/>
        </w:rPr>
        <w:t>אך לאחרונה:</w:t>
      </w:r>
    </w:p>
    <w:p w:rsidR="00AD2F60" w:rsidRDefault="00AD2F60" w:rsidP="00AD2F60">
      <w:pPr>
        <w:pStyle w:val="Ruller41"/>
        <w:rPr>
          <w:rtl/>
        </w:rPr>
      </w:pPr>
    </w:p>
    <w:p w:rsidR="00AD2F60" w:rsidRDefault="00AD2F60" w:rsidP="00AD2F60">
      <w:pPr>
        <w:pStyle w:val="Ruller5"/>
        <w:rPr>
          <w:rtl/>
        </w:rPr>
      </w:pPr>
      <w:r>
        <w:rPr>
          <w:rFonts w:hint="cs"/>
          <w:rtl/>
        </w:rPr>
        <w:t>"</w:t>
      </w:r>
      <w:r w:rsidRPr="001E4D06">
        <w:rPr>
          <w:rFonts w:hint="cs"/>
          <w:rtl/>
        </w:rPr>
        <w:t>למרבה הצער, הכוח ההרתעתי הגלום בהריסת בתים לכל הפחות מוטל בספק. סימני שאלה לא מעטים מרחפים מעל יעילות השימוש באמצעי זה, ולעמדתי חוות הדעת החסויות המוצגות לנו מעת לעת בנושא אינן מתמודדות עימם במלואם. מטבע הדברים, אפילו לגורמי המקצוע יש קושי לכמת את המידה שבה הריסת בתים מונעת פיגועי טרור; וגם לא את האפשרות החלופית שאמצעי זה רק מגביר שנאה ואלימות כלפי יהודים ואזרחי מדינת ישראל</w:t>
      </w:r>
      <w:r>
        <w:rPr>
          <w:rFonts w:hint="cs"/>
          <w:rtl/>
        </w:rPr>
        <w:t xml:space="preserve">" (בג"ץ 1618/22 </w:t>
      </w:r>
      <w:proofErr w:type="spellStart"/>
      <w:r w:rsidRPr="00E56C39">
        <w:rPr>
          <w:rFonts w:ascii="Century" w:hAnsi="Century" w:cs="Miriam" w:hint="eastAsia"/>
          <w:b/>
          <w:spacing w:val="0"/>
          <w:szCs w:val="24"/>
          <w:rtl/>
        </w:rPr>
        <w:t>ג</w:t>
      </w:r>
      <w:r w:rsidRPr="00E56C39">
        <w:rPr>
          <w:rFonts w:ascii="Century" w:hAnsi="Century" w:cs="Miriam"/>
          <w:b/>
          <w:spacing w:val="0"/>
          <w:szCs w:val="24"/>
          <w:rtl/>
        </w:rPr>
        <w:t>'ראדאת</w:t>
      </w:r>
      <w:proofErr w:type="spellEnd"/>
      <w:r w:rsidRPr="00E56C39">
        <w:rPr>
          <w:rFonts w:ascii="Century" w:hAnsi="Century" w:cs="Miriam"/>
          <w:b/>
          <w:spacing w:val="0"/>
          <w:szCs w:val="24"/>
          <w:rtl/>
        </w:rPr>
        <w:t xml:space="preserve"> </w:t>
      </w:r>
      <w:r w:rsidRPr="00E56C39">
        <w:rPr>
          <w:rFonts w:ascii="Century" w:hAnsi="Century" w:cs="Miriam" w:hint="eastAsia"/>
          <w:b/>
          <w:spacing w:val="0"/>
          <w:szCs w:val="24"/>
          <w:rtl/>
        </w:rPr>
        <w:t>נ</w:t>
      </w:r>
      <w:r w:rsidRPr="00E56C39">
        <w:rPr>
          <w:rFonts w:ascii="Century" w:hAnsi="Century" w:cs="Miriam"/>
          <w:b/>
          <w:spacing w:val="0"/>
          <w:szCs w:val="24"/>
          <w:rtl/>
        </w:rPr>
        <w:t xml:space="preserve">' </w:t>
      </w:r>
      <w:r w:rsidRPr="00E56C39">
        <w:rPr>
          <w:rFonts w:ascii="Century" w:hAnsi="Century" w:cs="Miriam" w:hint="eastAsia"/>
          <w:b/>
          <w:spacing w:val="0"/>
          <w:szCs w:val="24"/>
          <w:rtl/>
        </w:rPr>
        <w:t>המפקד</w:t>
      </w:r>
      <w:r w:rsidRPr="00E56C39">
        <w:rPr>
          <w:rFonts w:ascii="Century" w:hAnsi="Century" w:cs="Miriam"/>
          <w:b/>
          <w:spacing w:val="0"/>
          <w:szCs w:val="24"/>
          <w:rtl/>
        </w:rPr>
        <w:t xml:space="preserve"> </w:t>
      </w:r>
      <w:r w:rsidRPr="00E56C39">
        <w:rPr>
          <w:rFonts w:ascii="Century" w:hAnsi="Century" w:cs="Miriam" w:hint="eastAsia"/>
          <w:b/>
          <w:spacing w:val="0"/>
          <w:szCs w:val="24"/>
          <w:rtl/>
        </w:rPr>
        <w:t>הצבאי</w:t>
      </w:r>
      <w:r w:rsidRPr="00E56C39">
        <w:rPr>
          <w:rFonts w:ascii="Century" w:hAnsi="Century" w:cs="Miriam"/>
          <w:b/>
          <w:spacing w:val="0"/>
          <w:szCs w:val="24"/>
          <w:rtl/>
        </w:rPr>
        <w:t xml:space="preserve"> לאזור הגדה המערבית</w:t>
      </w:r>
      <w:r>
        <w:rPr>
          <w:rFonts w:hint="cs"/>
          <w:rtl/>
        </w:rPr>
        <w:t>, פסקה 3 לחוות דעתה (6.4.2022)</w:t>
      </w:r>
      <w:r w:rsidRPr="003F095D">
        <w:rPr>
          <w:rFonts w:hint="cs"/>
          <w:rtl/>
        </w:rPr>
        <w:t xml:space="preserve"> </w:t>
      </w:r>
      <w:r>
        <w:rPr>
          <w:rFonts w:hint="cs"/>
          <w:rtl/>
        </w:rPr>
        <w:t xml:space="preserve"> (להלן: </w:t>
      </w:r>
      <w:r w:rsidRPr="00F96615">
        <w:rPr>
          <w:rFonts w:ascii="Century" w:hAnsi="Century" w:cs="Miriam" w:hint="eastAsia"/>
          <w:b/>
          <w:spacing w:val="0"/>
          <w:szCs w:val="24"/>
          <w:rtl/>
        </w:rPr>
        <w:t>עניין</w:t>
      </w:r>
      <w:r w:rsidRPr="00F96615">
        <w:rPr>
          <w:rFonts w:ascii="Century" w:hAnsi="Century" w:cs="Miriam"/>
          <w:b/>
          <w:spacing w:val="0"/>
          <w:szCs w:val="24"/>
          <w:rtl/>
        </w:rPr>
        <w:t xml:space="preserve"> </w:t>
      </w:r>
      <w:proofErr w:type="spellStart"/>
      <w:r w:rsidRPr="00F96615">
        <w:rPr>
          <w:rFonts w:ascii="Century" w:hAnsi="Century" w:cs="Miriam" w:hint="eastAsia"/>
          <w:b/>
          <w:spacing w:val="0"/>
          <w:szCs w:val="24"/>
          <w:rtl/>
        </w:rPr>
        <w:t>ג</w:t>
      </w:r>
      <w:r w:rsidRPr="00F96615">
        <w:rPr>
          <w:rFonts w:ascii="Century" w:hAnsi="Century" w:cs="Miriam"/>
          <w:b/>
          <w:spacing w:val="0"/>
          <w:szCs w:val="24"/>
          <w:rtl/>
        </w:rPr>
        <w:t>'ראדאת</w:t>
      </w:r>
      <w:proofErr w:type="spellEnd"/>
      <w:r>
        <w:rPr>
          <w:rFonts w:hint="cs"/>
          <w:rtl/>
        </w:rPr>
        <w:t xml:space="preserve">)). </w:t>
      </w:r>
    </w:p>
    <w:p w:rsidR="00AD2F60" w:rsidRDefault="00AD2F60" w:rsidP="00AD2F60">
      <w:pPr>
        <w:pStyle w:val="Ruller41"/>
        <w:rPr>
          <w:rtl/>
        </w:rPr>
      </w:pPr>
    </w:p>
    <w:p w:rsidR="00AD2F60" w:rsidRDefault="00AD2F60" w:rsidP="00AD2F60">
      <w:pPr>
        <w:pStyle w:val="Ruller41"/>
        <w:rPr>
          <w:rtl/>
        </w:rPr>
      </w:pPr>
      <w:r>
        <w:rPr>
          <w:rtl/>
        </w:rPr>
        <w:tab/>
      </w:r>
      <w:r>
        <w:rPr>
          <w:rFonts w:hint="cs"/>
          <w:rtl/>
        </w:rPr>
        <w:t>המסקנה הנובעת מנקודה זו היא כי ישנן ראיות התומכות בגישת המשיב לפיה מדובר בפעולה שיש לה השלכה חיובית על צמצום מספרם וחומרתם של מעשי הטרור; כי יש להתייחס לנושא זה בזה</w:t>
      </w:r>
      <w:r w:rsidRPr="00B07E7A">
        <w:rPr>
          <w:rFonts w:hint="cs"/>
          <w:rtl/>
        </w:rPr>
        <w:t xml:space="preserve">ירות </w:t>
      </w:r>
      <w:r>
        <w:rPr>
          <w:rFonts w:hint="cs"/>
          <w:rtl/>
        </w:rPr>
        <w:t xml:space="preserve">רבה </w:t>
      </w:r>
      <w:r w:rsidRPr="00B07E7A">
        <w:rPr>
          <w:rFonts w:hint="cs"/>
          <w:rtl/>
        </w:rPr>
        <w:t xml:space="preserve">תוך שיש לשוב ולבחון אותו ולעדכן את המידע הנוגע אליו מדי פעם (עניין </w:t>
      </w:r>
      <w:r w:rsidRPr="009672A2">
        <w:rPr>
          <w:rFonts w:ascii="Century" w:hAnsi="Century" w:cs="Miriam" w:hint="eastAsia"/>
          <w:b/>
          <w:spacing w:val="0"/>
          <w:szCs w:val="24"/>
          <w:rtl/>
        </w:rPr>
        <w:t>המוקד</w:t>
      </w:r>
      <w:r w:rsidRPr="009672A2">
        <w:rPr>
          <w:rFonts w:ascii="Century" w:hAnsi="Century" w:cs="Miriam"/>
          <w:b/>
          <w:spacing w:val="0"/>
          <w:szCs w:val="24"/>
          <w:rtl/>
        </w:rPr>
        <w:t xml:space="preserve"> </w:t>
      </w:r>
      <w:r w:rsidRPr="009672A2">
        <w:rPr>
          <w:rFonts w:ascii="Century" w:hAnsi="Century" w:cs="Miriam" w:hint="eastAsia"/>
          <w:b/>
          <w:spacing w:val="0"/>
          <w:szCs w:val="24"/>
          <w:rtl/>
        </w:rPr>
        <w:t>להגנת</w:t>
      </w:r>
      <w:r w:rsidRPr="009672A2">
        <w:rPr>
          <w:rFonts w:ascii="Century" w:hAnsi="Century" w:cs="Miriam"/>
          <w:b/>
          <w:spacing w:val="0"/>
          <w:szCs w:val="24"/>
          <w:rtl/>
        </w:rPr>
        <w:t xml:space="preserve"> </w:t>
      </w:r>
      <w:r w:rsidRPr="009672A2">
        <w:rPr>
          <w:rFonts w:ascii="Century" w:hAnsi="Century" w:cs="Miriam" w:hint="eastAsia"/>
          <w:b/>
          <w:spacing w:val="0"/>
          <w:szCs w:val="24"/>
          <w:rtl/>
        </w:rPr>
        <w:t>הפרט</w:t>
      </w:r>
      <w:r w:rsidRPr="00B07E7A">
        <w:rPr>
          <w:rFonts w:hint="cs"/>
          <w:rtl/>
        </w:rPr>
        <w:t>, בפסקה כ"ז לפסק דינו של השופט</w:t>
      </w:r>
      <w:r w:rsidRPr="009672A2">
        <w:rPr>
          <w:rFonts w:ascii="Century" w:hAnsi="Century" w:cs="Miriam"/>
          <w:b/>
          <w:spacing w:val="0"/>
          <w:szCs w:val="24"/>
          <w:rtl/>
        </w:rPr>
        <w:t xml:space="preserve"> רובינשטיין</w:t>
      </w:r>
      <w:r w:rsidRPr="00B07E7A">
        <w:rPr>
          <w:rFonts w:hint="cs"/>
          <w:rtl/>
        </w:rPr>
        <w:t xml:space="preserve"> וב</w:t>
      </w:r>
      <w:r w:rsidRPr="00E1199D">
        <w:rPr>
          <w:rFonts w:hint="cs"/>
          <w:rtl/>
        </w:rPr>
        <w:t xml:space="preserve">פסקה 6 </w:t>
      </w:r>
      <w:r>
        <w:rPr>
          <w:rFonts w:hint="cs"/>
          <w:rtl/>
        </w:rPr>
        <w:t>לחוות דעתה</w:t>
      </w:r>
      <w:r w:rsidRPr="00E1199D">
        <w:rPr>
          <w:rFonts w:hint="cs"/>
          <w:rtl/>
        </w:rPr>
        <w:t xml:space="preserve"> של </w:t>
      </w:r>
      <w:r>
        <w:rPr>
          <w:rFonts w:hint="cs"/>
          <w:rtl/>
        </w:rPr>
        <w:t>השופטת</w:t>
      </w:r>
      <w:r w:rsidRPr="009672A2">
        <w:rPr>
          <w:rFonts w:ascii="Century" w:hAnsi="Century" w:cs="Miriam"/>
          <w:b/>
          <w:spacing w:val="0"/>
          <w:szCs w:val="24"/>
          <w:rtl/>
        </w:rPr>
        <w:t xml:space="preserve"> </w:t>
      </w:r>
      <w:r w:rsidRPr="009672A2">
        <w:rPr>
          <w:rFonts w:ascii="Century" w:hAnsi="Century" w:cs="Miriam" w:hint="eastAsia"/>
          <w:b/>
          <w:spacing w:val="0"/>
          <w:szCs w:val="24"/>
          <w:rtl/>
        </w:rPr>
        <w:t>חיות</w:t>
      </w:r>
      <w:r>
        <w:rPr>
          <w:rFonts w:hint="cs"/>
          <w:rtl/>
        </w:rPr>
        <w:t xml:space="preserve">); וכי מדובר בנושא שקשה מאוד </w:t>
      </w:r>
      <w:proofErr w:type="spellStart"/>
      <w:r>
        <w:rPr>
          <w:rFonts w:hint="cs"/>
          <w:rtl/>
        </w:rPr>
        <w:t>להוכיחו</w:t>
      </w:r>
      <w:proofErr w:type="spellEnd"/>
      <w:r>
        <w:rPr>
          <w:rFonts w:hint="cs"/>
          <w:rtl/>
        </w:rPr>
        <w:t xml:space="preserve"> באופן אמפירי.</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לשיטתה של השופטת </w:t>
      </w:r>
      <w:r w:rsidRPr="00C32D1E">
        <w:rPr>
          <w:rFonts w:ascii="Century" w:hAnsi="Century" w:cs="Miriam" w:hint="cs"/>
          <w:b/>
          <w:spacing w:val="0"/>
          <w:szCs w:val="24"/>
          <w:rtl/>
        </w:rPr>
        <w:t>ברון</w:t>
      </w:r>
      <w:r>
        <w:rPr>
          <w:rFonts w:hint="cs"/>
          <w:rtl/>
        </w:rPr>
        <w:t xml:space="preserve">, יש לתת משקל ממשי לספקות הקיימים ביחס ליעילות ההרתעתית הגלומה בכלי של הריסת בתים. משכך, תחת מבחן המידתיות, יש לתת משקל למידת ידיעתם או מעורבותם של בני משפחתו של המפגע במעשים המיוחסים לו (עניין </w:t>
      </w:r>
      <w:proofErr w:type="spellStart"/>
      <w:r w:rsidRPr="00BB7480">
        <w:rPr>
          <w:rFonts w:ascii="Century" w:hAnsi="Century" w:cs="Miriam" w:hint="eastAsia"/>
          <w:b/>
          <w:spacing w:val="0"/>
          <w:szCs w:val="24"/>
          <w:rtl/>
        </w:rPr>
        <w:t>ג</w:t>
      </w:r>
      <w:r w:rsidRPr="00BB7480">
        <w:rPr>
          <w:rFonts w:ascii="Century" w:hAnsi="Century" w:cs="Miriam"/>
          <w:b/>
          <w:spacing w:val="0"/>
          <w:szCs w:val="24"/>
          <w:rtl/>
        </w:rPr>
        <w:t>'ראדאת</w:t>
      </w:r>
      <w:proofErr w:type="spellEnd"/>
      <w:r>
        <w:rPr>
          <w:rFonts w:hint="cs"/>
          <w:rtl/>
        </w:rPr>
        <w:t xml:space="preserve">, בפסקה 3 לחוות דעתה). אף אני סבורה כן. לטעמי הספקות עליהם עמדה השופטת </w:t>
      </w:r>
      <w:r w:rsidRPr="008A390B">
        <w:rPr>
          <w:rFonts w:ascii="Century" w:hAnsi="Century" w:cs="Miriam" w:hint="cs"/>
          <w:b/>
          <w:spacing w:val="0"/>
          <w:szCs w:val="24"/>
          <w:rtl/>
        </w:rPr>
        <w:t>ברון</w:t>
      </w:r>
      <w:r>
        <w:rPr>
          <w:rFonts w:hint="cs"/>
          <w:rtl/>
        </w:rPr>
        <w:t xml:space="preserve"> מהווים טעם נוסף למתן משקל, בבחינת המידתיות של ההריסה, למידת המעורבות של בני המשפחה במעשים המיוחסים למפגע.</w:t>
      </w:r>
    </w:p>
    <w:p w:rsidR="00AD2F60" w:rsidRDefault="00AD2F60" w:rsidP="00AD2F60">
      <w:pPr>
        <w:pStyle w:val="Ruller41"/>
        <w:rPr>
          <w:rtl/>
        </w:rPr>
      </w:pPr>
    </w:p>
    <w:p w:rsidR="00AD2F60" w:rsidRPr="00FA436E" w:rsidRDefault="00AD2F60" w:rsidP="00AD2F60">
      <w:pPr>
        <w:pStyle w:val="Ruller4"/>
        <w:rPr>
          <w:rtl/>
        </w:rPr>
      </w:pPr>
      <w:r>
        <w:rPr>
          <w:rFonts w:hint="cs"/>
          <w:rtl/>
        </w:rPr>
        <w:t xml:space="preserve">כפי שציינתי לעיל, ההרתעה פועלת בשני מישורים. </w:t>
      </w:r>
      <w:r w:rsidRPr="0021726B">
        <w:rPr>
          <w:rFonts w:ascii="Century" w:hAnsi="Century" w:cs="Miriam" w:hint="eastAsia"/>
          <w:b/>
          <w:spacing w:val="0"/>
          <w:sz w:val="22"/>
          <w:szCs w:val="24"/>
          <w:rtl/>
        </w:rPr>
        <w:t>המישור</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האחד</w:t>
      </w:r>
      <w:r>
        <w:rPr>
          <w:rFonts w:hint="cs"/>
          <w:rtl/>
        </w:rPr>
        <w:t xml:space="preserve">: הרתעה של המפגע הפוטנציאלי העתידי מפני ביצוע מעשה הטרור; </w:t>
      </w:r>
      <w:r w:rsidRPr="0021726B">
        <w:rPr>
          <w:rFonts w:ascii="Century" w:hAnsi="Century" w:cs="Miriam" w:hint="eastAsia"/>
          <w:b/>
          <w:spacing w:val="0"/>
          <w:sz w:val="22"/>
          <w:szCs w:val="24"/>
          <w:rtl/>
        </w:rPr>
        <w:t>והמישור</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השני</w:t>
      </w:r>
      <w:r>
        <w:rPr>
          <w:rFonts w:hint="cs"/>
          <w:rtl/>
        </w:rPr>
        <w:t xml:space="preserve">: הרתעה של בני משפחה של מפגעים פוטנציאליים עתידיים. לטעמי, לנוכח הכלל לפיו "איש בחטאו יומתו" הנובע כאמור הן </w:t>
      </w:r>
      <w:proofErr w:type="spellStart"/>
      <w:r>
        <w:rPr>
          <w:rFonts w:hint="cs"/>
          <w:rtl/>
        </w:rPr>
        <w:t>מהיותה</w:t>
      </w:r>
      <w:proofErr w:type="spellEnd"/>
      <w:r>
        <w:rPr>
          <w:rFonts w:hint="cs"/>
          <w:rtl/>
        </w:rPr>
        <w:t xml:space="preserve"> של מדינת ישראל מדינה יהודית, הן </w:t>
      </w:r>
      <w:proofErr w:type="spellStart"/>
      <w:r>
        <w:rPr>
          <w:rFonts w:hint="cs"/>
          <w:rtl/>
        </w:rPr>
        <w:t>מהיותה</w:t>
      </w:r>
      <w:proofErr w:type="spellEnd"/>
      <w:r>
        <w:rPr>
          <w:rFonts w:hint="cs"/>
          <w:rtl/>
        </w:rPr>
        <w:t xml:space="preserve"> מדינה דמוקרטית, והן מערכים אוניברסליים; כמו גם לנוכח הספקות הקיימים ביחס לאפקטיביות ההרתעה שהיא התכלית אותה על תקנה 119 להגשים (בשונה מתכלית </w:t>
      </w:r>
      <w:proofErr w:type="spellStart"/>
      <w:r>
        <w:rPr>
          <w:rFonts w:hint="cs"/>
          <w:rtl/>
        </w:rPr>
        <w:t>עונשית</w:t>
      </w:r>
      <w:proofErr w:type="spellEnd"/>
      <w:r>
        <w:rPr>
          <w:rFonts w:hint="cs"/>
          <w:rtl/>
        </w:rPr>
        <w:t xml:space="preserve">, ובוודאי </w:t>
      </w:r>
      <w:proofErr w:type="spellStart"/>
      <w:r>
        <w:rPr>
          <w:rFonts w:hint="cs"/>
          <w:rtl/>
        </w:rPr>
        <w:t>עונשית</w:t>
      </w:r>
      <w:proofErr w:type="spellEnd"/>
      <w:r>
        <w:rPr>
          <w:rFonts w:hint="cs"/>
          <w:rtl/>
        </w:rPr>
        <w:t xml:space="preserve">-קולקטיבית) </w:t>
      </w:r>
      <w:r>
        <w:rPr>
          <w:rtl/>
        </w:rPr>
        <w:t>–</w:t>
      </w:r>
      <w:r>
        <w:rPr>
          <w:rFonts w:hint="cs"/>
          <w:rtl/>
        </w:rPr>
        <w:t xml:space="preserve"> המסר המרתיע צריך להתייחס במידה רבה אל בני המשפחה. יש להבהיר לבני המשפחה כי ככל שחלקם במעשה הטרור יהיה גדול יותר, </w:t>
      </w:r>
      <w:r>
        <w:rPr>
          <w:rFonts w:hint="cs"/>
          <w:rtl/>
        </w:rPr>
        <w:lastRenderedPageBreak/>
        <w:t xml:space="preserve">כך תגבר ההצדקה לעשות שימוש בתקנה ולהרוס את ביתם. מנגד, ככל שהם יוכלו להוכיח כי לא היה להם כל חלק במעשה, כי הם לא תמכו בו </w:t>
      </w:r>
      <w:r>
        <w:rPr>
          <w:rtl/>
        </w:rPr>
        <w:t>–</w:t>
      </w:r>
      <w:r>
        <w:rPr>
          <w:rFonts w:hint="cs"/>
          <w:rtl/>
        </w:rPr>
        <w:t xml:space="preserve"> לא מראש ולא בדיעבד, ובוודאי אם יוכלו להוכיח כי ניסו למנוע אותו </w:t>
      </w:r>
      <w:r>
        <w:rPr>
          <w:rtl/>
        </w:rPr>
        <w:t>–</w:t>
      </w:r>
      <w:r>
        <w:rPr>
          <w:rFonts w:hint="cs"/>
          <w:rtl/>
        </w:rPr>
        <w:t xml:space="preserve"> הדבר יהווה שיקול כבד משקל במסגרת שיקולי המידתיות, ויתכן שאף יביא למניעת ההריסה של ביתם (</w:t>
      </w:r>
      <w:r w:rsidRPr="00FA436E">
        <w:rPr>
          <w:rFonts w:hint="cs"/>
          <w:rtl/>
        </w:rPr>
        <w:t>ראו:</w:t>
      </w:r>
      <w:r>
        <w:rPr>
          <w:rFonts w:hint="cs"/>
          <w:rtl/>
        </w:rPr>
        <w:t xml:space="preserve"> עניין</w:t>
      </w:r>
      <w:r w:rsidRPr="00FA436E">
        <w:rPr>
          <w:rFonts w:hint="cs"/>
          <w:rtl/>
        </w:rPr>
        <w:t xml:space="preserve"> </w:t>
      </w:r>
      <w:r w:rsidRPr="00DD6AC8">
        <w:rPr>
          <w:rFonts w:ascii="Century" w:hAnsi="Century" w:cs="Miriam" w:hint="eastAsia"/>
          <w:b/>
          <w:spacing w:val="0"/>
          <w:sz w:val="22"/>
          <w:szCs w:val="24"/>
          <w:rtl/>
        </w:rPr>
        <w:t>המוקד</w:t>
      </w:r>
      <w:r w:rsidRPr="00DD6AC8">
        <w:rPr>
          <w:rFonts w:ascii="Century" w:hAnsi="Century" w:cs="Miriam"/>
          <w:b/>
          <w:spacing w:val="0"/>
          <w:sz w:val="22"/>
          <w:szCs w:val="24"/>
          <w:rtl/>
        </w:rPr>
        <w:t xml:space="preserve"> </w:t>
      </w:r>
      <w:r w:rsidRPr="00DD6AC8">
        <w:rPr>
          <w:rFonts w:ascii="Century" w:hAnsi="Century" w:cs="Miriam" w:hint="eastAsia"/>
          <w:b/>
          <w:spacing w:val="0"/>
          <w:sz w:val="22"/>
          <w:szCs w:val="24"/>
          <w:rtl/>
        </w:rPr>
        <w:t>להגנת</w:t>
      </w:r>
      <w:r w:rsidRPr="00DD6AC8">
        <w:rPr>
          <w:rFonts w:ascii="Century" w:hAnsi="Century" w:cs="Miriam"/>
          <w:b/>
          <w:spacing w:val="0"/>
          <w:sz w:val="22"/>
          <w:szCs w:val="24"/>
          <w:rtl/>
        </w:rPr>
        <w:t xml:space="preserve"> </w:t>
      </w:r>
      <w:r w:rsidRPr="00DD6AC8">
        <w:rPr>
          <w:rFonts w:ascii="Century" w:hAnsi="Century" w:cs="Miriam" w:hint="eastAsia"/>
          <w:b/>
          <w:spacing w:val="0"/>
          <w:sz w:val="22"/>
          <w:szCs w:val="24"/>
          <w:rtl/>
        </w:rPr>
        <w:t>הפרט</w:t>
      </w:r>
      <w:r w:rsidRPr="00FA436E">
        <w:rPr>
          <w:rFonts w:hint="cs"/>
          <w:rtl/>
        </w:rPr>
        <w:t>, פסקה 4 ל</w:t>
      </w:r>
      <w:r>
        <w:rPr>
          <w:rFonts w:hint="cs"/>
          <w:rtl/>
        </w:rPr>
        <w:t xml:space="preserve">חוות דעתה </w:t>
      </w:r>
      <w:r w:rsidRPr="00FA436E">
        <w:rPr>
          <w:rFonts w:hint="cs"/>
          <w:rtl/>
        </w:rPr>
        <w:t xml:space="preserve">של השופטת </w:t>
      </w:r>
      <w:r w:rsidRPr="0021726B">
        <w:rPr>
          <w:rFonts w:ascii="Century" w:hAnsi="Century" w:cs="Miriam" w:hint="eastAsia"/>
          <w:b/>
          <w:spacing w:val="0"/>
          <w:sz w:val="22"/>
          <w:szCs w:val="24"/>
          <w:rtl/>
        </w:rPr>
        <w:t>חיות</w:t>
      </w:r>
      <w:r w:rsidRPr="00FA436E">
        <w:rPr>
          <w:rFonts w:hint="cs"/>
          <w:rtl/>
        </w:rPr>
        <w:t xml:space="preserve"> וההפניות שם).</w:t>
      </w:r>
    </w:p>
    <w:p w:rsidR="00AD2F60" w:rsidRPr="00FA013D" w:rsidRDefault="00AD2F60" w:rsidP="00AD2F60">
      <w:pPr>
        <w:pStyle w:val="Ruller41"/>
        <w:rPr>
          <w:rtl/>
        </w:rPr>
      </w:pPr>
    </w:p>
    <w:p w:rsidR="00AD2F60" w:rsidRDefault="00AD2F60" w:rsidP="00AD2F60">
      <w:pPr>
        <w:pStyle w:val="Ruller41"/>
        <w:rPr>
          <w:rtl/>
        </w:rPr>
      </w:pPr>
      <w:r>
        <w:rPr>
          <w:rtl/>
        </w:rPr>
        <w:tab/>
      </w:r>
      <w:r>
        <w:rPr>
          <w:rFonts w:hint="cs"/>
          <w:rtl/>
        </w:rPr>
        <w:t xml:space="preserve">לנושא זה יש חשיבות כפולה: </w:t>
      </w:r>
      <w:r w:rsidRPr="0021726B">
        <w:rPr>
          <w:rFonts w:ascii="Century" w:hAnsi="Century" w:cs="Miriam" w:hint="cs"/>
          <w:b/>
          <w:spacing w:val="0"/>
          <w:szCs w:val="24"/>
          <w:rtl/>
        </w:rPr>
        <w:t>ראשית</w:t>
      </w:r>
      <w:r>
        <w:rPr>
          <w:rFonts w:hint="cs"/>
          <w:rtl/>
        </w:rPr>
        <w:t xml:space="preserve">, וכפי שציינתי לעיל, ככל שניתן לייחס לבני המשפחה חלק משמעותי יותר במעשה הטרור, כך ההריסה היא מידתית יותר; ומצטמצם החשש מפני "ענישה" קולקטיבית של בני המשפחה על לא עוול בכפם רק לצורך הרתעה של מפגעים עתידיים. </w:t>
      </w:r>
      <w:r w:rsidRPr="0021726B">
        <w:rPr>
          <w:rFonts w:ascii="Century" w:hAnsi="Century" w:cs="Miriam" w:hint="cs"/>
          <w:b/>
          <w:spacing w:val="0"/>
          <w:szCs w:val="24"/>
          <w:rtl/>
        </w:rPr>
        <w:t>שנית</w:t>
      </w:r>
      <w:r>
        <w:rPr>
          <w:rFonts w:hint="cs"/>
          <w:rtl/>
        </w:rPr>
        <w:t xml:space="preserve">, מבחינה פרקטית, מועבר לבני המשפחה מסר לפיו אם ידוע להם על כוונה של בן משפחתם לבצע מעשה טרור, הם יוכלו לפעול כדי לאיין או למצער להפחית בצורה משמעותית את הסיכון של הריסת ביתם. מסר כזה עשוי אף הוא להביא בני משפחה לנסות להניא את המפגע מביצוע פעולת הטרור, בין באמצעות חינוך מתאים, שכנוע ואף קשר עם השלטונות במקרה שכל אלה לא הועילו. כל אלה עשויים להביא לצמצום אפשרי של פיגועים. </w:t>
      </w:r>
    </w:p>
    <w:p w:rsidR="00AD2F60" w:rsidRDefault="00AD2F60" w:rsidP="00AD2F60">
      <w:pPr>
        <w:pStyle w:val="Ruller41"/>
        <w:rPr>
          <w:rtl/>
        </w:rPr>
      </w:pPr>
    </w:p>
    <w:p w:rsidR="00AD2F60" w:rsidRDefault="00AD2F60" w:rsidP="00AD2F60">
      <w:pPr>
        <w:pStyle w:val="Ruller4"/>
        <w:rPr>
          <w:rtl/>
        </w:rPr>
      </w:pPr>
      <w:r>
        <w:rPr>
          <w:rFonts w:ascii="Century" w:hAnsi="Century" w:cs="Miriam" w:hint="cs"/>
          <w:b/>
          <w:spacing w:val="0"/>
          <w:szCs w:val="24"/>
          <w:rtl/>
        </w:rPr>
        <w:t xml:space="preserve">סיכומה של נקודה זו </w:t>
      </w:r>
      <w:r>
        <w:rPr>
          <w:rtl/>
        </w:rPr>
        <w:t>–</w:t>
      </w:r>
      <w:r>
        <w:rPr>
          <w:rFonts w:hint="cs"/>
          <w:rtl/>
        </w:rPr>
        <w:t xml:space="preserve"> לכאורה, אילו המטרה היחידה של ההריסה הייתה הרתעה של מפגעים עתידיים גרידא, לא היו כל השלכה או משמעות לעמדתם של בני המשפחה. כך, אם מפגע עתידי ירצה למנוע את הריסת הבית של בני משפחתו, הוא יימנע מלבצע מעשה טרור בין אם בני המשפחה מגבים אותו ובין אם לאו. מנגד, אם מבחינת המפגע העתידי אין משמעות להריסת הבית </w:t>
      </w:r>
      <w:r>
        <w:rPr>
          <w:rtl/>
        </w:rPr>
        <w:t>–</w:t>
      </w:r>
      <w:r>
        <w:rPr>
          <w:rFonts w:hint="cs"/>
          <w:rtl/>
        </w:rPr>
        <w:t xml:space="preserve"> גם אז אין משמעות לשאלה האם בני המשפחה היו מודעים למעשה מראש, האם סייעו לבן המשפחה או גיבו אותו. </w:t>
      </w:r>
    </w:p>
    <w:p w:rsidR="00AD2F60" w:rsidRDefault="00AD2F60" w:rsidP="00AD2F60">
      <w:pPr>
        <w:pStyle w:val="Ruller41"/>
        <w:rPr>
          <w:rtl/>
        </w:rPr>
      </w:pPr>
    </w:p>
    <w:p w:rsidR="00AD2F60" w:rsidRDefault="00AD2F60" w:rsidP="00AD2F60">
      <w:pPr>
        <w:pStyle w:val="Ruller41"/>
        <w:rPr>
          <w:rtl/>
        </w:rPr>
      </w:pPr>
      <w:r>
        <w:rPr>
          <w:rtl/>
        </w:rPr>
        <w:tab/>
      </w:r>
      <w:r>
        <w:rPr>
          <w:rFonts w:hint="cs"/>
          <w:rtl/>
        </w:rPr>
        <w:t>ואולם, כאמור ההרתעה הגלומה בתקנה אינה רק ביחס למפגעים עתידיים אלא מופנית גם לבני המשפחה הגרים עם המפגע (</w:t>
      </w:r>
      <w:r w:rsidRPr="0021726B">
        <w:rPr>
          <w:rFonts w:hint="eastAsia"/>
          <w:rtl/>
        </w:rPr>
        <w:t>עניין</w:t>
      </w:r>
      <w:r w:rsidRPr="0021726B">
        <w:rPr>
          <w:rtl/>
        </w:rPr>
        <w:t xml:space="preserve"> </w:t>
      </w:r>
      <w:r w:rsidRPr="0021726B">
        <w:rPr>
          <w:rFonts w:ascii="Century" w:hAnsi="Century" w:cs="Miriam" w:hint="eastAsia"/>
          <w:b/>
          <w:spacing w:val="0"/>
          <w:szCs w:val="24"/>
          <w:rtl/>
        </w:rPr>
        <w:t>מרעי</w:t>
      </w:r>
      <w:r w:rsidRPr="0021726B">
        <w:rPr>
          <w:rtl/>
        </w:rPr>
        <w:t xml:space="preserve">, בפסקה 2 לחוות דעתה של השופטת </w:t>
      </w:r>
      <w:r w:rsidRPr="0021726B">
        <w:rPr>
          <w:rFonts w:ascii="Century" w:hAnsi="Century" w:cs="Miriam" w:hint="eastAsia"/>
          <w:b/>
          <w:spacing w:val="0"/>
          <w:szCs w:val="24"/>
          <w:rtl/>
        </w:rPr>
        <w:t>ברון</w:t>
      </w:r>
      <w:r w:rsidRPr="0021726B">
        <w:rPr>
          <w:rtl/>
        </w:rPr>
        <w:t xml:space="preserve">; עניין </w:t>
      </w:r>
      <w:proofErr w:type="spellStart"/>
      <w:r w:rsidRPr="0021726B">
        <w:rPr>
          <w:rFonts w:ascii="Century" w:hAnsi="Century" w:cs="Miriam" w:hint="eastAsia"/>
          <w:b/>
          <w:spacing w:val="0"/>
          <w:szCs w:val="24"/>
          <w:rtl/>
        </w:rPr>
        <w:t>חמאד</w:t>
      </w:r>
      <w:proofErr w:type="spellEnd"/>
      <w:r w:rsidRPr="0021726B">
        <w:rPr>
          <w:rtl/>
        </w:rPr>
        <w:t xml:space="preserve">, בפסקה 1(ז) לחוות דעתו של השופט </w:t>
      </w:r>
      <w:r w:rsidRPr="0021726B">
        <w:rPr>
          <w:rFonts w:ascii="Century" w:hAnsi="Century" w:cs="Miriam" w:hint="eastAsia"/>
          <w:b/>
          <w:spacing w:val="0"/>
          <w:szCs w:val="24"/>
          <w:rtl/>
        </w:rPr>
        <w:t>סולברג</w:t>
      </w:r>
      <w:r>
        <w:rPr>
          <w:rFonts w:hint="cs"/>
          <w:rtl/>
        </w:rPr>
        <w:t xml:space="preserve">). משכך, יש השלכה לידיעתם ולעמדתם של בני המשפחה ביחס למעשה הנפשע. זאת בעיקר לפני ביצועו ובמידה מסוימת גם לאחר מכן.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אם כן, ככל שמדובר בבני משפחה שסייעו למפגע (בין אם באמצעות הסתרתו, מתן תמיכה כספית, סיוע להסתרת כלי נשק וכד'), הנטייה לבצע את ההריסה תגדל. מנגד, אם מדובר בבני משפחה שלא זו בלבד שלא היו שותפים לעמדותיו של המפגע, אלא שהם אף גינו את פעולותיו או ניסו למנוע ממנו להוציא את כוונותיו לפועל (בין באמצעות שכנוע ובין באמצעות דיווח לשלטונות הביטחון) </w:t>
      </w:r>
      <w:r>
        <w:rPr>
          <w:rtl/>
        </w:rPr>
        <w:t>–</w:t>
      </w:r>
      <w:r>
        <w:rPr>
          <w:rFonts w:hint="cs"/>
          <w:rtl/>
        </w:rPr>
        <w:t xml:space="preserve"> דינם צריך להיות שונה. </w:t>
      </w:r>
    </w:p>
    <w:p w:rsidR="00AD2F60" w:rsidRDefault="00AD2F60" w:rsidP="00AD2F60">
      <w:pPr>
        <w:pStyle w:val="Ruller41"/>
        <w:rPr>
          <w:rtl/>
        </w:rPr>
      </w:pPr>
    </w:p>
    <w:p w:rsidR="00AD2F60" w:rsidRDefault="00AD2F60" w:rsidP="00AD2F60">
      <w:pPr>
        <w:pStyle w:val="Ruller41"/>
        <w:rPr>
          <w:rtl/>
        </w:rPr>
      </w:pPr>
      <w:r>
        <w:rPr>
          <w:rtl/>
        </w:rPr>
        <w:tab/>
      </w:r>
      <w:r>
        <w:rPr>
          <w:rFonts w:hint="cs"/>
          <w:rtl/>
        </w:rPr>
        <w:t>בין המקרים הללו קיימים מקרי ביניים של בני משפחה שידעו על כוונות המפגע לבצע את הפיגוע אך לא סייעו לו; כאלה שלא היו מודעים כלל למעשה הקונקרטי אך היו מודעים לכוונות הכלליות של המפגע; וכאלה אשר הביעו לאחר מעשה תמיכה במפגע.</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אני ערה לכך שבית משפט זה קבע כי גם כאשר אין ראיה בדבר מעורבות של קרובי משפחתו של המפגע, הדבר אינו מונע הפעלת סמכות ההריסה, וכי ככלל נטתה הפסיקה </w:t>
      </w:r>
      <w:proofErr w:type="spellStart"/>
      <w:r>
        <w:rPr>
          <w:rFonts w:hint="cs"/>
          <w:rtl/>
        </w:rPr>
        <w:t>ליתן</w:t>
      </w:r>
      <w:proofErr w:type="spellEnd"/>
      <w:r>
        <w:rPr>
          <w:rFonts w:hint="cs"/>
          <w:rtl/>
        </w:rPr>
        <w:t xml:space="preserve"> את הבכורה לשיקולים הקשורים בחומרת המעשה שביצע המפגע (עמדה על כך השופטת </w:t>
      </w:r>
      <w:r w:rsidRPr="00DD6AC8">
        <w:rPr>
          <w:rFonts w:ascii="Century" w:hAnsi="Century" w:cs="Miriam" w:hint="eastAsia"/>
          <w:b/>
          <w:spacing w:val="0"/>
          <w:szCs w:val="24"/>
          <w:rtl/>
        </w:rPr>
        <w:t>ברון</w:t>
      </w:r>
      <w:r>
        <w:rPr>
          <w:rFonts w:hint="cs"/>
          <w:rtl/>
        </w:rPr>
        <w:t xml:space="preserve"> בעניין </w:t>
      </w:r>
      <w:r w:rsidRPr="00DD6AC8">
        <w:rPr>
          <w:rFonts w:ascii="Century" w:hAnsi="Century" w:cs="Miriam" w:hint="eastAsia"/>
          <w:b/>
          <w:spacing w:val="0"/>
          <w:szCs w:val="24"/>
          <w:rtl/>
        </w:rPr>
        <w:t>מרעי</w:t>
      </w:r>
      <w:r>
        <w:rPr>
          <w:rFonts w:hint="cs"/>
          <w:rtl/>
        </w:rPr>
        <w:t xml:space="preserve">, פסקה 6; ראו גם: בג"ץ 10467/03 </w:t>
      </w:r>
      <w:proofErr w:type="spellStart"/>
      <w:r w:rsidRPr="00CC6330">
        <w:rPr>
          <w:rFonts w:ascii="Century" w:hAnsi="Century" w:cs="Miriam" w:hint="eastAsia"/>
          <w:b/>
          <w:spacing w:val="0"/>
          <w:szCs w:val="24"/>
          <w:rtl/>
        </w:rPr>
        <w:t>שרבאתי</w:t>
      </w:r>
      <w:proofErr w:type="spellEnd"/>
      <w:r w:rsidRPr="00CC6330">
        <w:rPr>
          <w:rFonts w:ascii="Century" w:hAnsi="Century" w:cs="Miriam"/>
          <w:b/>
          <w:spacing w:val="0"/>
          <w:szCs w:val="24"/>
          <w:rtl/>
        </w:rPr>
        <w:t xml:space="preserve"> </w:t>
      </w:r>
      <w:r w:rsidRPr="00CC6330">
        <w:rPr>
          <w:rFonts w:ascii="Century" w:hAnsi="Century" w:cs="Miriam" w:hint="eastAsia"/>
          <w:b/>
          <w:spacing w:val="0"/>
          <w:szCs w:val="24"/>
          <w:rtl/>
        </w:rPr>
        <w:t>נ</w:t>
      </w:r>
      <w:r w:rsidRPr="00CC6330">
        <w:rPr>
          <w:rFonts w:ascii="Century" w:hAnsi="Century" w:cs="Miriam"/>
          <w:b/>
          <w:spacing w:val="0"/>
          <w:szCs w:val="24"/>
          <w:rtl/>
        </w:rPr>
        <w:t xml:space="preserve">' </w:t>
      </w:r>
      <w:r w:rsidRPr="00CC6330">
        <w:rPr>
          <w:rFonts w:ascii="Century" w:hAnsi="Century" w:cs="Miriam" w:hint="eastAsia"/>
          <w:b/>
          <w:spacing w:val="0"/>
          <w:szCs w:val="24"/>
          <w:rtl/>
        </w:rPr>
        <w:t>אלוף</w:t>
      </w:r>
      <w:r w:rsidRPr="00CC6330">
        <w:rPr>
          <w:rFonts w:ascii="Century" w:hAnsi="Century" w:cs="Miriam"/>
          <w:b/>
          <w:spacing w:val="0"/>
          <w:szCs w:val="24"/>
          <w:rtl/>
        </w:rPr>
        <w:t xml:space="preserve"> </w:t>
      </w:r>
      <w:r w:rsidRPr="00CC6330">
        <w:rPr>
          <w:rFonts w:ascii="Century" w:hAnsi="Century" w:cs="Miriam" w:hint="eastAsia"/>
          <w:b/>
          <w:spacing w:val="0"/>
          <w:szCs w:val="24"/>
          <w:rtl/>
        </w:rPr>
        <w:t>פיקוד</w:t>
      </w:r>
      <w:r w:rsidRPr="00CC6330">
        <w:rPr>
          <w:rFonts w:ascii="Century" w:hAnsi="Century" w:cs="Miriam"/>
          <w:b/>
          <w:spacing w:val="0"/>
          <w:szCs w:val="24"/>
          <w:rtl/>
        </w:rPr>
        <w:t xml:space="preserve"> </w:t>
      </w:r>
      <w:r w:rsidRPr="00CC6330">
        <w:rPr>
          <w:rFonts w:ascii="Century" w:hAnsi="Century" w:cs="Miriam" w:hint="eastAsia"/>
          <w:b/>
          <w:spacing w:val="0"/>
          <w:szCs w:val="24"/>
          <w:rtl/>
        </w:rPr>
        <w:t>העורף</w:t>
      </w:r>
      <w:r>
        <w:rPr>
          <w:rFonts w:hint="cs"/>
          <w:rtl/>
        </w:rPr>
        <w:t xml:space="preserve">, פ"ד נח(1) 810, 814 (2003)). ואולם, הפסיקה הכירה בכך שגורם זה עשוי להיות שיקול רלוונטי והוא אף עשוי להשפיע על היקף הצו (עניין </w:t>
      </w:r>
      <w:proofErr w:type="spellStart"/>
      <w:r w:rsidRPr="00E56C39">
        <w:rPr>
          <w:rFonts w:ascii="Century" w:hAnsi="Century" w:cs="Miriam" w:hint="eastAsia"/>
          <w:b/>
          <w:spacing w:val="0"/>
          <w:szCs w:val="24"/>
          <w:rtl/>
        </w:rPr>
        <w:t>עואודה</w:t>
      </w:r>
      <w:proofErr w:type="spellEnd"/>
      <w:r>
        <w:rPr>
          <w:rFonts w:hint="cs"/>
          <w:rtl/>
        </w:rPr>
        <w:t xml:space="preserve">, בפסקה 18 לפסק דינה של המשנה לנשיא </w:t>
      </w:r>
      <w:r w:rsidRPr="0021726B">
        <w:rPr>
          <w:rFonts w:ascii="Century" w:hAnsi="Century" w:cs="Miriam" w:hint="eastAsia"/>
          <w:b/>
          <w:spacing w:val="0"/>
          <w:szCs w:val="24"/>
          <w:rtl/>
        </w:rPr>
        <w:t>מ</w:t>
      </w:r>
      <w:r w:rsidRPr="0021726B">
        <w:rPr>
          <w:rFonts w:ascii="Century" w:hAnsi="Century" w:cs="Miriam"/>
          <w:b/>
          <w:spacing w:val="0"/>
          <w:szCs w:val="24"/>
          <w:rtl/>
        </w:rPr>
        <w:t xml:space="preserve">' </w:t>
      </w:r>
      <w:r w:rsidRPr="0021726B">
        <w:rPr>
          <w:rFonts w:ascii="Century" w:hAnsi="Century" w:cs="Miriam" w:hint="eastAsia"/>
          <w:b/>
          <w:spacing w:val="0"/>
          <w:szCs w:val="24"/>
          <w:rtl/>
        </w:rPr>
        <w:t>נאור</w:t>
      </w:r>
      <w:r w:rsidRPr="00704222">
        <w:rPr>
          <w:rtl/>
        </w:rPr>
        <w:t xml:space="preserve"> </w:t>
      </w:r>
      <w:r>
        <w:rPr>
          <w:rFonts w:hint="cs"/>
          <w:rtl/>
        </w:rPr>
        <w:t xml:space="preserve">וההפניות שם).  </w:t>
      </w:r>
    </w:p>
    <w:p w:rsidR="00AD2F60" w:rsidRDefault="00AD2F60" w:rsidP="00AD2F60">
      <w:pPr>
        <w:pStyle w:val="Ruller41"/>
        <w:rPr>
          <w:rtl/>
        </w:rPr>
      </w:pPr>
    </w:p>
    <w:p w:rsidR="00AD2F60" w:rsidRDefault="00AD2F60" w:rsidP="00AD2F60">
      <w:pPr>
        <w:pStyle w:val="Ruller41"/>
        <w:rPr>
          <w:rFonts w:ascii="Century" w:hAnsi="Century" w:cs="Miriam"/>
          <w:b/>
          <w:spacing w:val="0"/>
          <w:szCs w:val="24"/>
          <w:rtl/>
        </w:rPr>
      </w:pPr>
      <w:r w:rsidRPr="001C37F9">
        <w:rPr>
          <w:rFonts w:ascii="Century" w:hAnsi="Century" w:cs="Miriam" w:hint="cs"/>
          <w:b/>
          <w:spacing w:val="0"/>
          <w:szCs w:val="24"/>
          <w:rtl/>
        </w:rPr>
        <w:t xml:space="preserve">שיקולים </w:t>
      </w:r>
      <w:r>
        <w:rPr>
          <w:rFonts w:ascii="Century" w:hAnsi="Century" w:cs="Miriam" w:hint="cs"/>
          <w:b/>
          <w:spacing w:val="0"/>
          <w:szCs w:val="24"/>
          <w:rtl/>
        </w:rPr>
        <w:t xml:space="preserve">נוספים </w:t>
      </w:r>
      <w:r w:rsidRPr="001C37F9">
        <w:rPr>
          <w:rFonts w:ascii="Century" w:hAnsi="Century" w:cs="Miriam" w:hint="cs"/>
          <w:b/>
          <w:spacing w:val="0"/>
          <w:szCs w:val="24"/>
          <w:rtl/>
        </w:rPr>
        <w:t>שיש להביא בחשבון במסגרת יישום התקנה</w:t>
      </w:r>
    </w:p>
    <w:p w:rsidR="00AD2F60" w:rsidRDefault="00AD2F60" w:rsidP="00AD2F60">
      <w:pPr>
        <w:pStyle w:val="Ruller4"/>
        <w:numPr>
          <w:ilvl w:val="0"/>
          <w:numId w:val="0"/>
        </w:numPr>
      </w:pPr>
    </w:p>
    <w:p w:rsidR="00AD2F60" w:rsidRDefault="00AD2F60" w:rsidP="00AD2F60">
      <w:pPr>
        <w:pStyle w:val="Ruller4"/>
        <w:rPr>
          <w:rtl/>
        </w:rPr>
      </w:pPr>
      <w:r>
        <w:rPr>
          <w:rFonts w:hint="cs"/>
          <w:rtl/>
        </w:rPr>
        <w:t xml:space="preserve">כפי שהבהרתי, מעבר לשיקול המשמעותי של מעורבות בני המשפחה, ההלכה הפסוקה קבעה אמות מידה נוספות שיש להביאן בחשבון במסגרת הפעלת שיקול הדעת ביחס להריסה אפשרית. כאמור, אני סבורה כי שומה על בית המשפט להתייחס בכל מקרה ומקרה למכלול הנסיבות ולמכלול האפשרויות האלטרנטיביות העומדות בפני המשיב, ולהגיע למסקנה קונקרטית לגבי התוצאה האפשרית של הריסת בית המפגע, כולו או חלקו. אעמוד בקצרה להלן על יתר אמות המידה שיש להביא בחשבון. </w:t>
      </w:r>
    </w:p>
    <w:p w:rsidR="00AD2F60" w:rsidRDefault="00AD2F60" w:rsidP="00AD2F60">
      <w:pPr>
        <w:pStyle w:val="Ruller41"/>
        <w:rPr>
          <w:rtl/>
        </w:rPr>
      </w:pPr>
    </w:p>
    <w:p w:rsidR="00AD2F60" w:rsidRDefault="00AD2F60" w:rsidP="00AD2F60">
      <w:pPr>
        <w:pStyle w:val="Ruller4"/>
        <w:rPr>
          <w:rtl/>
        </w:rPr>
      </w:pPr>
      <w:r w:rsidRPr="001A56B6">
        <w:rPr>
          <w:rFonts w:ascii="Century" w:hAnsi="Century" w:cs="Miriam" w:hint="cs"/>
          <w:b/>
          <w:spacing w:val="0"/>
          <w:szCs w:val="24"/>
          <w:rtl/>
        </w:rPr>
        <w:t>המצב הביטחוני ומספר מעשי הטרור</w:t>
      </w:r>
      <w:r w:rsidRPr="001A56B6">
        <w:rPr>
          <w:rFonts w:hint="cs"/>
          <w:rtl/>
        </w:rPr>
        <w:t xml:space="preserve"> </w:t>
      </w:r>
      <w:r>
        <w:rPr>
          <w:rtl/>
        </w:rPr>
        <w:t>–</w:t>
      </w:r>
      <w:r>
        <w:rPr>
          <w:rFonts w:hint="cs"/>
          <w:rtl/>
        </w:rPr>
        <w:t xml:space="preserve"> ככל שמדובר בתקופה בה מבוצעים מעשי טרור רבים, כך גדלה ההצדקה לפעולות מנע שימנעו או למצער יפחיתו את הסיכון העתידי; ולהיפך (ראו: עניין </w:t>
      </w:r>
      <w:proofErr w:type="spellStart"/>
      <w:r w:rsidRPr="00F96615">
        <w:rPr>
          <w:rFonts w:ascii="Century" w:hAnsi="Century" w:cs="Miriam" w:hint="eastAsia"/>
          <w:b/>
          <w:spacing w:val="0"/>
          <w:sz w:val="22"/>
          <w:szCs w:val="24"/>
          <w:rtl/>
        </w:rPr>
        <w:t>ג</w:t>
      </w:r>
      <w:r w:rsidRPr="00F96615">
        <w:rPr>
          <w:rFonts w:ascii="Century" w:hAnsi="Century" w:cs="Miriam"/>
          <w:b/>
          <w:spacing w:val="0"/>
          <w:sz w:val="22"/>
          <w:szCs w:val="24"/>
          <w:rtl/>
        </w:rPr>
        <w:t>'</w:t>
      </w:r>
      <w:r w:rsidRPr="00F96615">
        <w:rPr>
          <w:rFonts w:ascii="Century" w:hAnsi="Century" w:cs="Miriam" w:hint="eastAsia"/>
          <w:b/>
          <w:spacing w:val="0"/>
          <w:sz w:val="22"/>
          <w:szCs w:val="24"/>
          <w:rtl/>
        </w:rPr>
        <w:t>ראדאת</w:t>
      </w:r>
      <w:proofErr w:type="spellEnd"/>
      <w:r>
        <w:rPr>
          <w:rFonts w:hint="cs"/>
          <w:rtl/>
        </w:rPr>
        <w:t xml:space="preserve">, בפסקה 16). כאלה הם פני הדברים גם בפועל, כאשר המדינה אינה פועלת להריסת בתי מפגעים בכל עת, אלא רק כאשר נדרשים אמצעים חריגים בתקופות אלימות ומתוחות במיוחד. </w:t>
      </w:r>
    </w:p>
    <w:p w:rsidR="00AD2F60" w:rsidRDefault="00AD2F60" w:rsidP="00AD2F60">
      <w:pPr>
        <w:pStyle w:val="Ruller41"/>
        <w:rPr>
          <w:rtl/>
        </w:rPr>
      </w:pPr>
    </w:p>
    <w:p w:rsidR="00AD2F60" w:rsidRDefault="00AD2F60" w:rsidP="00AD2F60">
      <w:pPr>
        <w:pStyle w:val="Ruller4"/>
      </w:pPr>
      <w:r w:rsidRPr="001A56B6">
        <w:rPr>
          <w:rFonts w:ascii="Century" w:hAnsi="Century" w:cs="Miriam" w:hint="cs"/>
          <w:b/>
          <w:spacing w:val="0"/>
          <w:szCs w:val="24"/>
          <w:rtl/>
        </w:rPr>
        <w:t>חומרת המעשה</w:t>
      </w:r>
      <w:r w:rsidRPr="001A56B6">
        <w:rPr>
          <w:rFonts w:hint="cs"/>
          <w:rtl/>
        </w:rPr>
        <w:t xml:space="preserve"> </w:t>
      </w:r>
      <w:r>
        <w:rPr>
          <w:rtl/>
        </w:rPr>
        <w:t>–</w:t>
      </w:r>
      <w:r>
        <w:rPr>
          <w:rFonts w:hint="cs"/>
          <w:rtl/>
        </w:rPr>
        <w:t xml:space="preserve"> שיקול נוסף שיש להביאו בחשבון מתייחס לחומרת מעשה הפיגוע. זאת מבחינת תוצאתו, התכנון מראש, סוג הנשק בו נעשה שימוש וכד'. המשקל של הקריטריון הזה נובע מהמטרה של ההריסה </w:t>
      </w:r>
      <w:r>
        <w:rPr>
          <w:rtl/>
        </w:rPr>
        <w:t>–</w:t>
      </w:r>
      <w:r>
        <w:rPr>
          <w:rFonts w:hint="cs"/>
          <w:rtl/>
        </w:rPr>
        <w:t xml:space="preserve"> הרתעה עתידית. מטרה זו מקבלת משנה תוקף ככל שמדובר במעשה חמור יותר ומזיק יותר (ראו: עניין </w:t>
      </w:r>
      <w:r w:rsidRPr="00F96615">
        <w:rPr>
          <w:rFonts w:ascii="Century" w:hAnsi="Century" w:cs="Miriam" w:hint="eastAsia"/>
          <w:b/>
          <w:spacing w:val="0"/>
          <w:sz w:val="22"/>
          <w:szCs w:val="24"/>
          <w:rtl/>
        </w:rPr>
        <w:t>המוקד</w:t>
      </w:r>
      <w:r w:rsidRPr="00F96615">
        <w:rPr>
          <w:rFonts w:ascii="Century" w:hAnsi="Century" w:cs="Miriam"/>
          <w:b/>
          <w:spacing w:val="0"/>
          <w:sz w:val="22"/>
          <w:szCs w:val="24"/>
          <w:rtl/>
        </w:rPr>
        <w:t xml:space="preserve"> </w:t>
      </w:r>
      <w:r w:rsidRPr="00F96615">
        <w:rPr>
          <w:rFonts w:ascii="Century" w:hAnsi="Century" w:cs="Miriam" w:hint="eastAsia"/>
          <w:b/>
          <w:spacing w:val="0"/>
          <w:sz w:val="22"/>
          <w:szCs w:val="24"/>
          <w:rtl/>
        </w:rPr>
        <w:t>להגנת</w:t>
      </w:r>
      <w:r w:rsidRPr="00F96615">
        <w:rPr>
          <w:rFonts w:ascii="Century" w:hAnsi="Century" w:cs="Miriam"/>
          <w:b/>
          <w:spacing w:val="0"/>
          <w:sz w:val="22"/>
          <w:szCs w:val="24"/>
          <w:rtl/>
        </w:rPr>
        <w:t xml:space="preserve"> </w:t>
      </w:r>
      <w:r w:rsidRPr="00F96615">
        <w:rPr>
          <w:rFonts w:ascii="Century" w:hAnsi="Century" w:cs="Miriam" w:hint="eastAsia"/>
          <w:b/>
          <w:spacing w:val="0"/>
          <w:sz w:val="22"/>
          <w:szCs w:val="24"/>
          <w:rtl/>
        </w:rPr>
        <w:t>הפרט</w:t>
      </w:r>
      <w:r>
        <w:rPr>
          <w:rFonts w:hint="cs"/>
          <w:rtl/>
        </w:rPr>
        <w:t xml:space="preserve">, פסקה </w:t>
      </w:r>
      <w:proofErr w:type="spellStart"/>
      <w:r>
        <w:rPr>
          <w:rFonts w:hint="cs"/>
          <w:rtl/>
        </w:rPr>
        <w:t>יח</w:t>
      </w:r>
      <w:proofErr w:type="spellEnd"/>
      <w:r>
        <w:rPr>
          <w:rFonts w:hint="cs"/>
          <w:rtl/>
        </w:rPr>
        <w:t xml:space="preserve">).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יוער כי שיקול נוסף אותו יש להביא בחשבון הוא </w:t>
      </w:r>
      <w:r w:rsidRPr="0021726B">
        <w:rPr>
          <w:rFonts w:ascii="Century" w:hAnsi="Century" w:cs="Miriam" w:hint="eastAsia"/>
          <w:b/>
          <w:spacing w:val="0"/>
          <w:sz w:val="22"/>
          <w:szCs w:val="24"/>
          <w:rtl/>
        </w:rPr>
        <w:t>עוצמת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התשתית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הראייתית</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נגד</w:t>
      </w:r>
      <w:r w:rsidRPr="0021726B">
        <w:rPr>
          <w:rFonts w:ascii="Century" w:hAnsi="Century" w:cs="Miriam"/>
          <w:b/>
          <w:spacing w:val="0"/>
          <w:sz w:val="22"/>
          <w:szCs w:val="24"/>
          <w:rtl/>
        </w:rPr>
        <w:t xml:space="preserve"> </w:t>
      </w:r>
      <w:r w:rsidRPr="0021726B">
        <w:rPr>
          <w:rFonts w:ascii="Century" w:hAnsi="Century" w:cs="Miriam" w:hint="eastAsia"/>
          <w:b/>
          <w:spacing w:val="0"/>
          <w:sz w:val="22"/>
          <w:szCs w:val="24"/>
          <w:rtl/>
        </w:rPr>
        <w:t>המפגע</w:t>
      </w:r>
      <w:r>
        <w:rPr>
          <w:rFonts w:hint="cs"/>
          <w:rtl/>
        </w:rPr>
        <w:t xml:space="preserve"> (ראו מני רבים: עניין </w:t>
      </w:r>
      <w:proofErr w:type="spellStart"/>
      <w:r w:rsidRPr="00F96615">
        <w:rPr>
          <w:rFonts w:ascii="Century" w:hAnsi="Century" w:cs="Miriam" w:hint="eastAsia"/>
          <w:b/>
          <w:spacing w:val="0"/>
          <w:sz w:val="22"/>
          <w:szCs w:val="24"/>
          <w:rtl/>
        </w:rPr>
        <w:t>דויקאת</w:t>
      </w:r>
      <w:proofErr w:type="spellEnd"/>
      <w:r>
        <w:rPr>
          <w:rFonts w:hint="cs"/>
          <w:rtl/>
        </w:rPr>
        <w:t xml:space="preserve">, בפסקה 50), ואולם בענייננו נראה כי גם העותר עצמו אינו חולק על הראיות הקיימות ביחס לביצוע הפיגוע על ידי המפגע, בן משפחתו. </w:t>
      </w:r>
    </w:p>
    <w:p w:rsidR="00AD2F60" w:rsidRDefault="00AD2F60" w:rsidP="00AD2F60">
      <w:pPr>
        <w:pStyle w:val="Ruller41"/>
        <w:rPr>
          <w:rtl/>
        </w:rPr>
      </w:pPr>
    </w:p>
    <w:p w:rsidR="00AD2F60" w:rsidRDefault="00AD2F60" w:rsidP="00AD2F60">
      <w:pPr>
        <w:pStyle w:val="Ruller4"/>
      </w:pPr>
      <w:r w:rsidRPr="0020649E">
        <w:rPr>
          <w:rFonts w:ascii="Century" w:hAnsi="Century" w:cs="Miriam" w:hint="cs"/>
          <w:b/>
          <w:spacing w:val="0"/>
          <w:szCs w:val="24"/>
          <w:rtl/>
        </w:rPr>
        <w:t>זיקת המגורים של המפגע לבית</w:t>
      </w:r>
      <w:r w:rsidRPr="0020649E">
        <w:rPr>
          <w:rFonts w:hint="cs"/>
          <w:rtl/>
        </w:rPr>
        <w:t xml:space="preserve"> </w:t>
      </w:r>
      <w:r>
        <w:rPr>
          <w:rtl/>
        </w:rPr>
        <w:t>–</w:t>
      </w:r>
      <w:r>
        <w:rPr>
          <w:rFonts w:hint="cs"/>
          <w:rtl/>
        </w:rPr>
        <w:t xml:space="preserve"> כפי שציינתי, מתקין התקנה לא ויתר על זיקת המגורים של המפגע לבית, על אף שזיקה כזו איננה כרוכה באופן אינהרנטי במטרת ההרתעה העומדת בבסיס התקנה. אף על פי כן, קיומה של זיקת מגורים מהווה תנאי לביצוע ההריסה (ראו למשל: עניין </w:t>
      </w:r>
      <w:proofErr w:type="spellStart"/>
      <w:r w:rsidRPr="00F96615">
        <w:rPr>
          <w:rFonts w:ascii="Century" w:hAnsi="Century" w:cs="Miriam" w:hint="eastAsia"/>
          <w:b/>
          <w:spacing w:val="0"/>
          <w:sz w:val="22"/>
          <w:szCs w:val="24"/>
          <w:rtl/>
        </w:rPr>
        <w:t>חמאד</w:t>
      </w:r>
      <w:proofErr w:type="spellEnd"/>
      <w:r>
        <w:rPr>
          <w:rFonts w:hint="cs"/>
          <w:rtl/>
        </w:rPr>
        <w:t xml:space="preserve">, בפסקה 45). לכן, אני סבורה כי ככל שמדובר בזיקה מרוחקת יותר, הדבר עשוי להשפיע על מכלול השיקולים ביחס להריסה אפשרית של הבית. </w:t>
      </w:r>
    </w:p>
    <w:p w:rsidR="00AD2F60" w:rsidRDefault="00AD2F60" w:rsidP="00AD2F60">
      <w:pPr>
        <w:pStyle w:val="Ruller4"/>
        <w:numPr>
          <w:ilvl w:val="0"/>
          <w:numId w:val="0"/>
        </w:numPr>
      </w:pPr>
    </w:p>
    <w:p w:rsidR="00AD2F60" w:rsidRDefault="00AD2F60" w:rsidP="00AD2F60">
      <w:pPr>
        <w:pStyle w:val="Ruller4"/>
        <w:numPr>
          <w:ilvl w:val="0"/>
          <w:numId w:val="0"/>
        </w:numPr>
        <w:rPr>
          <w:rtl/>
        </w:rPr>
      </w:pPr>
      <w:r>
        <w:rPr>
          <w:rtl/>
        </w:rPr>
        <w:tab/>
      </w:r>
      <w:r>
        <w:rPr>
          <w:rFonts w:hint="cs"/>
          <w:rtl/>
        </w:rPr>
        <w:t xml:space="preserve">בהקשר זה יש לטעמי הבדל בין מקרה של בית שהיה בבעלות המפגע עצמו אשר הוא ראש המשפחה החיה בבית (כאשר יתר בני המשפחה חיים בבית המפגע כדיירים נלווים אליו </w:t>
      </w:r>
      <w:r>
        <w:rPr>
          <w:rtl/>
        </w:rPr>
        <w:t>–</w:t>
      </w:r>
      <w:r>
        <w:rPr>
          <w:rFonts w:hint="cs"/>
          <w:rtl/>
        </w:rPr>
        <w:t xml:space="preserve"> למשל ילדים קטינים של המפגע וכיו"ב); בית שהוא בבעלות הוריו של המפגע והוא חי בו כדייר נלווה מכוח זכויותיהם בו (ראו והשוו: חוות דעתו של השופט כבוב בעניין</w:t>
      </w:r>
      <w:r w:rsidRPr="00DD6AC8">
        <w:rPr>
          <w:rFonts w:ascii="Century" w:hAnsi="Century" w:cs="Miriam"/>
          <w:b/>
          <w:spacing w:val="0"/>
          <w:sz w:val="22"/>
          <w:szCs w:val="24"/>
          <w:rtl/>
        </w:rPr>
        <w:t xml:space="preserve"> </w:t>
      </w:r>
      <w:proofErr w:type="spellStart"/>
      <w:r w:rsidRPr="00DD6AC8">
        <w:rPr>
          <w:rFonts w:ascii="Century" w:hAnsi="Century" w:cs="Miriam" w:hint="eastAsia"/>
          <w:b/>
          <w:spacing w:val="0"/>
          <w:sz w:val="22"/>
          <w:szCs w:val="24"/>
          <w:rtl/>
        </w:rPr>
        <w:t>פרוך</w:t>
      </w:r>
      <w:proofErr w:type="spellEnd"/>
      <w:r>
        <w:rPr>
          <w:rFonts w:hint="cs"/>
          <w:rtl/>
        </w:rPr>
        <w:t xml:space="preserve">, פסקה 12); או בית שהוא בבעלותו של קרוב משפחה אחר או אף של אדם אחר שאין לו קשר משפחתי למפגע, ואשר משפחת המפגע שוכרת אותו. כן יש הבדל בין בית בו המפגע גר ממש לבין בית בו הוא רק התארח לעיתים, לן בו לפרקים וכיו"ב. </w:t>
      </w:r>
    </w:p>
    <w:p w:rsidR="00AD2F60" w:rsidRDefault="00AD2F60" w:rsidP="00AD2F60">
      <w:pPr>
        <w:pStyle w:val="Ruller41"/>
        <w:rPr>
          <w:rtl/>
        </w:rPr>
      </w:pPr>
    </w:p>
    <w:p w:rsidR="00AD2F60" w:rsidRDefault="00AD2F60" w:rsidP="00AD2F60">
      <w:pPr>
        <w:pStyle w:val="Ruller4"/>
        <w:rPr>
          <w:rtl/>
        </w:rPr>
      </w:pPr>
      <w:r>
        <w:rPr>
          <w:rFonts w:ascii="Century" w:hAnsi="Century" w:cs="Miriam" w:hint="cs"/>
          <w:b/>
          <w:spacing w:val="0"/>
          <w:szCs w:val="24"/>
          <w:rtl/>
        </w:rPr>
        <w:t xml:space="preserve">שקילת </w:t>
      </w:r>
      <w:r w:rsidRPr="004E6DDB">
        <w:rPr>
          <w:rFonts w:ascii="Century" w:hAnsi="Century" w:cs="Miriam" w:hint="cs"/>
          <w:b/>
          <w:spacing w:val="0"/>
          <w:szCs w:val="24"/>
          <w:rtl/>
        </w:rPr>
        <w:t xml:space="preserve">אמצעים מידתיים </w:t>
      </w:r>
      <w:r>
        <w:rPr>
          <w:rFonts w:ascii="Century" w:hAnsi="Century" w:cs="Miriam" w:hint="cs"/>
          <w:b/>
          <w:spacing w:val="0"/>
          <w:szCs w:val="24"/>
          <w:rtl/>
        </w:rPr>
        <w:t>יותר</w:t>
      </w:r>
      <w:r w:rsidRPr="004E6DDB">
        <w:rPr>
          <w:rFonts w:ascii="Century" w:hAnsi="Century" w:cs="Miriam" w:hint="cs"/>
          <w:b/>
          <w:spacing w:val="0"/>
          <w:szCs w:val="24"/>
          <w:rtl/>
        </w:rPr>
        <w:t xml:space="preserve"> </w:t>
      </w:r>
      <w:r>
        <w:rPr>
          <w:rFonts w:ascii="Century" w:hAnsi="Century" w:cs="Miriam" w:hint="cs"/>
          <w:b/>
          <w:spacing w:val="0"/>
          <w:szCs w:val="24"/>
          <w:rtl/>
        </w:rPr>
        <w:t>מ</w:t>
      </w:r>
      <w:r w:rsidRPr="004E6DDB">
        <w:rPr>
          <w:rFonts w:ascii="Century" w:hAnsi="Century" w:cs="Miriam" w:hint="cs"/>
          <w:b/>
          <w:spacing w:val="0"/>
          <w:szCs w:val="24"/>
          <w:rtl/>
        </w:rPr>
        <w:t>הריסה של בית המשפחה כולו</w:t>
      </w:r>
      <w:r w:rsidRPr="004E6DDB">
        <w:rPr>
          <w:rFonts w:hint="cs"/>
          <w:rtl/>
        </w:rPr>
        <w:t xml:space="preserve"> </w:t>
      </w:r>
      <w:r>
        <w:rPr>
          <w:rtl/>
        </w:rPr>
        <w:t>–</w:t>
      </w:r>
      <w:r>
        <w:rPr>
          <w:rFonts w:hint="cs"/>
          <w:rtl/>
        </w:rPr>
        <w:t xml:space="preserve"> כאמור, תנאי להריסה הוא קיומה של זיקת מגורים של המפגע אליו. זאת אף שהריסת בית מגורים בו גר רק המפגע, היא בעלת ערך הרתעתי מצומצם מאוד אם בכלל. כאמור, ההרתעה אינה נובעת מכך שבית המפגע ייהרס, אלא מכך שהוא יידע כי לאחר ביצוע הפיגוע, עלולים בני משפחתו הקרובים למצוא את עצמם ללא קורת גג.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מכאן נובע </w:t>
      </w:r>
      <w:r>
        <w:rPr>
          <w:rtl/>
        </w:rPr>
        <w:t>–</w:t>
      </w:r>
      <w:r>
        <w:rPr>
          <w:rFonts w:hint="cs"/>
          <w:rtl/>
        </w:rPr>
        <w:t xml:space="preserve"> ודומה כי אף ב"כ המשיב לא חלק על כך </w:t>
      </w:r>
      <w:r>
        <w:rPr>
          <w:rtl/>
        </w:rPr>
        <w:t>–</w:t>
      </w:r>
      <w:r>
        <w:rPr>
          <w:rFonts w:hint="cs"/>
          <w:rtl/>
        </w:rPr>
        <w:t xml:space="preserve"> כי ככל שניתן להפריד בין יחידת המגורים בה גר המפגע מיחידות המגורים של יתר בני המשפחה, יש מקום להרוס רק את יחידת המגורים של המפגע עצמו (ראו: </w:t>
      </w:r>
      <w:r w:rsidRPr="00FF3AF3">
        <w:rPr>
          <w:rFonts w:hint="eastAsia"/>
          <w:rtl/>
        </w:rPr>
        <w:t>בג</w:t>
      </w:r>
      <w:r w:rsidRPr="00FF3AF3">
        <w:rPr>
          <w:rtl/>
        </w:rPr>
        <w:t>"</w:t>
      </w:r>
      <w:r w:rsidRPr="00FF3AF3">
        <w:rPr>
          <w:rFonts w:hint="eastAsia"/>
          <w:rtl/>
        </w:rPr>
        <w:t>ץ</w:t>
      </w:r>
      <w:r w:rsidRPr="00FF3AF3">
        <w:rPr>
          <w:rtl/>
        </w:rPr>
        <w:t xml:space="preserve"> 5141/16 </w:t>
      </w:r>
      <w:proofErr w:type="spellStart"/>
      <w:r w:rsidRPr="00F96615">
        <w:rPr>
          <w:rFonts w:ascii="Century" w:hAnsi="Century" w:cs="Miriam" w:hint="eastAsia"/>
          <w:b/>
          <w:spacing w:val="0"/>
          <w:szCs w:val="24"/>
          <w:rtl/>
        </w:rPr>
        <w:t>מחאמרה</w:t>
      </w:r>
      <w:proofErr w:type="spellEnd"/>
      <w:r w:rsidRPr="00F96615">
        <w:rPr>
          <w:rFonts w:ascii="Century" w:hAnsi="Century" w:cs="Miriam"/>
          <w:b/>
          <w:spacing w:val="0"/>
          <w:szCs w:val="24"/>
          <w:rtl/>
        </w:rPr>
        <w:t xml:space="preserve"> </w:t>
      </w:r>
      <w:r w:rsidRPr="00F96615">
        <w:rPr>
          <w:rFonts w:ascii="Century" w:hAnsi="Century" w:cs="Miriam" w:hint="eastAsia"/>
          <w:b/>
          <w:spacing w:val="0"/>
          <w:szCs w:val="24"/>
          <w:rtl/>
        </w:rPr>
        <w:t>נ</w:t>
      </w:r>
      <w:r w:rsidRPr="00F96615">
        <w:rPr>
          <w:rFonts w:ascii="Century" w:hAnsi="Century" w:cs="Miriam"/>
          <w:b/>
          <w:spacing w:val="0"/>
          <w:szCs w:val="24"/>
          <w:rtl/>
        </w:rPr>
        <w:t xml:space="preserve">' </w:t>
      </w:r>
      <w:r w:rsidRPr="00F96615">
        <w:rPr>
          <w:rFonts w:ascii="Century" w:hAnsi="Century" w:cs="Miriam" w:hint="eastAsia"/>
          <w:b/>
          <w:spacing w:val="0"/>
          <w:szCs w:val="24"/>
          <w:rtl/>
        </w:rPr>
        <w:t>מפקד</w:t>
      </w:r>
      <w:r w:rsidRPr="00F96615">
        <w:rPr>
          <w:rFonts w:ascii="Century" w:hAnsi="Century" w:cs="Miriam"/>
          <w:b/>
          <w:spacing w:val="0"/>
          <w:szCs w:val="24"/>
          <w:rtl/>
        </w:rPr>
        <w:t xml:space="preserve"> </w:t>
      </w:r>
      <w:r w:rsidRPr="00F96615">
        <w:rPr>
          <w:rFonts w:ascii="Century" w:hAnsi="Century" w:cs="Miriam" w:hint="eastAsia"/>
          <w:b/>
          <w:spacing w:val="0"/>
          <w:szCs w:val="24"/>
          <w:rtl/>
        </w:rPr>
        <w:t>כוחות</w:t>
      </w:r>
      <w:r w:rsidRPr="00F96615">
        <w:rPr>
          <w:rFonts w:ascii="Century" w:hAnsi="Century" w:cs="Miriam"/>
          <w:b/>
          <w:spacing w:val="0"/>
          <w:szCs w:val="24"/>
          <w:rtl/>
        </w:rPr>
        <w:t xml:space="preserve"> </w:t>
      </w:r>
      <w:r w:rsidRPr="00F96615">
        <w:rPr>
          <w:rFonts w:ascii="Century" w:hAnsi="Century" w:cs="Miriam" w:hint="eastAsia"/>
          <w:b/>
          <w:spacing w:val="0"/>
          <w:szCs w:val="24"/>
          <w:rtl/>
        </w:rPr>
        <w:t>הצבא</w:t>
      </w:r>
      <w:r w:rsidRPr="00F96615">
        <w:rPr>
          <w:rFonts w:ascii="Century" w:hAnsi="Century" w:cs="Miriam"/>
          <w:b/>
          <w:spacing w:val="0"/>
          <w:szCs w:val="24"/>
          <w:rtl/>
        </w:rPr>
        <w:t xml:space="preserve"> </w:t>
      </w:r>
      <w:r w:rsidRPr="00F96615">
        <w:rPr>
          <w:rFonts w:ascii="Century" w:hAnsi="Century" w:cs="Miriam" w:hint="eastAsia"/>
          <w:b/>
          <w:spacing w:val="0"/>
          <w:szCs w:val="24"/>
          <w:rtl/>
        </w:rPr>
        <w:t>בגדה</w:t>
      </w:r>
      <w:r w:rsidRPr="00F96615">
        <w:rPr>
          <w:rFonts w:ascii="Century" w:hAnsi="Century" w:cs="Miriam"/>
          <w:b/>
          <w:spacing w:val="0"/>
          <w:szCs w:val="24"/>
          <w:rtl/>
        </w:rPr>
        <w:t xml:space="preserve"> </w:t>
      </w:r>
      <w:r w:rsidRPr="00F96615">
        <w:rPr>
          <w:rFonts w:ascii="Century" w:hAnsi="Century" w:cs="Miriam" w:hint="eastAsia"/>
          <w:b/>
          <w:spacing w:val="0"/>
          <w:szCs w:val="24"/>
          <w:rtl/>
        </w:rPr>
        <w:t>המערבית</w:t>
      </w:r>
      <w:r>
        <w:rPr>
          <w:rFonts w:hint="cs"/>
          <w:rtl/>
        </w:rPr>
        <w:t>, פסקה 40</w:t>
      </w:r>
      <w:r w:rsidRPr="00FF3AF3">
        <w:rPr>
          <w:rtl/>
        </w:rPr>
        <w:t xml:space="preserve"> (24.</w:t>
      </w:r>
      <w:r>
        <w:rPr>
          <w:rFonts w:hint="cs"/>
          <w:rtl/>
        </w:rPr>
        <w:t>7</w:t>
      </w:r>
      <w:r w:rsidRPr="00FF3AF3">
        <w:rPr>
          <w:rtl/>
        </w:rPr>
        <w:t>.2016)</w:t>
      </w:r>
      <w:r>
        <w:rPr>
          <w:rFonts w:hint="cs"/>
          <w:rtl/>
        </w:rPr>
        <w:t xml:space="preserve">).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ב"כ המשיב ציין בדיון שהתקיים בפנינו ביום 4.5.2023 כי קיימת גישה בפסיקה לפיה ככל שניתן לערוך הפרדה כאמור, יש לכך השלכה על אפשרות ההריסה. ב"כ </w:t>
      </w:r>
      <w:r>
        <w:rPr>
          <w:rFonts w:hint="cs"/>
          <w:rtl/>
        </w:rPr>
        <w:lastRenderedPageBreak/>
        <w:t xml:space="preserve">המשיב אף הסכים כי אם למפגע אין זיקת מגורים למקום, לא ניתן להפעיל את הסמכות (ראו פרוטוקול הדיון מיום 4.5.2023, עמוד 3 שורות 10-22). עם זאת הוא הוסיף, כפי שיפורט גם להלן, כי עמדתו של המפקד הצבאי היא כי כאשר מדובר בדירה בה כל דייר מתגורר בחדר פרטי אחד (לבדו או עם אדם אחד נוסף), אין עילה להפריד בין החדרים והפרדה כאמור היא מלאכותית.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השאלה שיש לבחון בהקשר זה היא אפוא מתי ניתן לקבוע שאפשר להפריד את חלק המגורים של המפגע. כאשר הדבר אפשרי, וכאשר תכלית ההרתעה אינה מאוינת (אף אם היא נחלשת), יש להרוס רק את המקום שלמפגע יש זיקת מגורים כלפיו, ולא יחידות דיור אחרות (וזאת כמובן אם המשיב יהיה סבור כי יש אינטרס הרתעתי בביצוע הריסה מוגבלת כזו). באופן יותר קונקרטי, השאלה היא האם כאשר מדובר בדירת מגורים המחולקת לחדרים, די בהריסה או אטימה של חדר המגורים של המפגע בלא להרוס את יתר חדרי המגורים, או שמא במצב כזה נדרשת הריסה של הדירה כולה. האפשרות לבודד את יחידת המגורים של המפגע, תהווה אף היא </w:t>
      </w:r>
      <w:r>
        <w:rPr>
          <w:rtl/>
        </w:rPr>
        <w:t>–</w:t>
      </w:r>
      <w:r>
        <w:rPr>
          <w:rFonts w:hint="cs"/>
          <w:rtl/>
        </w:rPr>
        <w:t xml:space="preserve"> כאשר היא קיימת </w:t>
      </w:r>
      <w:r>
        <w:rPr>
          <w:rtl/>
        </w:rPr>
        <w:t>–</w:t>
      </w:r>
      <w:r>
        <w:rPr>
          <w:rFonts w:hint="cs"/>
          <w:rtl/>
        </w:rPr>
        <w:t xml:space="preserve"> אחד השיקולים שיובאו בחשבון לעניין מידתיות ההריסה. </w:t>
      </w:r>
    </w:p>
    <w:p w:rsidR="00AD2F60" w:rsidRDefault="00AD2F60" w:rsidP="00AD2F60">
      <w:pPr>
        <w:pStyle w:val="Ruller41"/>
        <w:rPr>
          <w:rtl/>
        </w:rPr>
      </w:pPr>
    </w:p>
    <w:p w:rsidR="00AD2F60" w:rsidRPr="0021726B" w:rsidRDefault="00AD2F60" w:rsidP="00AD2F60">
      <w:pPr>
        <w:pStyle w:val="Ruller41"/>
        <w:rPr>
          <w:rFonts w:ascii="Century" w:hAnsi="Century" w:cs="Miriam"/>
          <w:b/>
          <w:spacing w:val="0"/>
          <w:szCs w:val="24"/>
          <w:rtl/>
        </w:rPr>
      </w:pPr>
      <w:r w:rsidRPr="0021726B">
        <w:rPr>
          <w:rFonts w:ascii="Century" w:hAnsi="Century" w:cs="Miriam" w:hint="eastAsia"/>
          <w:b/>
          <w:spacing w:val="0"/>
          <w:szCs w:val="24"/>
          <w:rtl/>
        </w:rPr>
        <w:t>יישום</w:t>
      </w:r>
      <w:r w:rsidRPr="0021726B">
        <w:rPr>
          <w:rFonts w:ascii="Century" w:hAnsi="Century" w:cs="Miriam"/>
          <w:b/>
          <w:spacing w:val="0"/>
          <w:szCs w:val="24"/>
          <w:rtl/>
        </w:rPr>
        <w:t xml:space="preserve"> </w:t>
      </w:r>
      <w:r w:rsidRPr="0021726B">
        <w:rPr>
          <w:rFonts w:ascii="Century" w:hAnsi="Century" w:cs="Miriam" w:hint="eastAsia"/>
          <w:b/>
          <w:spacing w:val="0"/>
          <w:szCs w:val="24"/>
          <w:rtl/>
        </w:rPr>
        <w:t>הקריטריונים</w:t>
      </w:r>
      <w:r w:rsidRPr="0021726B">
        <w:rPr>
          <w:rFonts w:ascii="Century" w:hAnsi="Century" w:cs="Miriam"/>
          <w:b/>
          <w:spacing w:val="0"/>
          <w:szCs w:val="24"/>
          <w:rtl/>
        </w:rPr>
        <w:t xml:space="preserve"> </w:t>
      </w:r>
      <w:r w:rsidRPr="0021726B">
        <w:rPr>
          <w:rFonts w:ascii="Century" w:hAnsi="Century" w:cs="Miriam" w:hint="eastAsia"/>
          <w:b/>
          <w:spacing w:val="0"/>
          <w:szCs w:val="24"/>
          <w:rtl/>
        </w:rPr>
        <w:t>שלעיל</w:t>
      </w:r>
      <w:r w:rsidRPr="0021726B">
        <w:rPr>
          <w:rFonts w:ascii="Century" w:hAnsi="Century" w:cs="Miriam"/>
          <w:b/>
          <w:spacing w:val="0"/>
          <w:szCs w:val="24"/>
          <w:rtl/>
        </w:rPr>
        <w:t xml:space="preserve"> </w:t>
      </w:r>
      <w:r w:rsidRPr="0021726B">
        <w:rPr>
          <w:rFonts w:ascii="Century" w:hAnsi="Century" w:cs="Miriam" w:hint="eastAsia"/>
          <w:b/>
          <w:spacing w:val="0"/>
          <w:szCs w:val="24"/>
          <w:rtl/>
        </w:rPr>
        <w:t>על</w:t>
      </w:r>
      <w:r w:rsidRPr="0021726B">
        <w:rPr>
          <w:rFonts w:ascii="Century" w:hAnsi="Century" w:cs="Miriam"/>
          <w:b/>
          <w:spacing w:val="0"/>
          <w:szCs w:val="24"/>
          <w:rtl/>
        </w:rPr>
        <w:t xml:space="preserve"> </w:t>
      </w:r>
      <w:r w:rsidRPr="0021726B">
        <w:rPr>
          <w:rFonts w:ascii="Century" w:hAnsi="Century" w:cs="Miriam" w:hint="eastAsia"/>
          <w:b/>
          <w:spacing w:val="0"/>
          <w:szCs w:val="24"/>
          <w:rtl/>
        </w:rPr>
        <w:t>עובדות</w:t>
      </w:r>
      <w:r w:rsidRPr="0021726B">
        <w:rPr>
          <w:rFonts w:ascii="Century" w:hAnsi="Century" w:cs="Miriam"/>
          <w:b/>
          <w:spacing w:val="0"/>
          <w:szCs w:val="24"/>
          <w:rtl/>
        </w:rPr>
        <w:t xml:space="preserve"> </w:t>
      </w:r>
      <w:r w:rsidRPr="0021726B">
        <w:rPr>
          <w:rFonts w:ascii="Century" w:hAnsi="Century" w:cs="Miriam" w:hint="eastAsia"/>
          <w:b/>
          <w:spacing w:val="0"/>
          <w:szCs w:val="24"/>
          <w:rtl/>
        </w:rPr>
        <w:t>המקרה</w:t>
      </w:r>
      <w:r w:rsidRPr="0021726B">
        <w:rPr>
          <w:rFonts w:ascii="Century" w:hAnsi="Century" w:cs="Miriam"/>
          <w:b/>
          <w:spacing w:val="0"/>
          <w:szCs w:val="24"/>
          <w:rtl/>
        </w:rPr>
        <w:t xml:space="preserve"> </w:t>
      </w:r>
      <w:r w:rsidRPr="0021726B">
        <w:rPr>
          <w:rFonts w:ascii="Century" w:hAnsi="Century" w:cs="Miriam" w:hint="eastAsia"/>
          <w:b/>
          <w:spacing w:val="0"/>
          <w:szCs w:val="24"/>
          <w:rtl/>
        </w:rPr>
        <w:t>דנן</w:t>
      </w:r>
    </w:p>
    <w:p w:rsidR="00AD2F60" w:rsidRPr="002168B1" w:rsidRDefault="00AD2F60" w:rsidP="00AD2F60">
      <w:pPr>
        <w:pStyle w:val="Ruller41"/>
        <w:rPr>
          <w:rFonts w:ascii="Century" w:hAnsi="Century" w:cs="Miriam"/>
          <w:b/>
          <w:spacing w:val="0"/>
          <w:szCs w:val="24"/>
          <w:u w:val="single"/>
          <w:rtl/>
        </w:rPr>
      </w:pPr>
    </w:p>
    <w:p w:rsidR="00AD2F60" w:rsidRDefault="00AD2F60" w:rsidP="00AD2F60">
      <w:pPr>
        <w:pStyle w:val="Ruller4"/>
        <w:rPr>
          <w:rtl/>
        </w:rPr>
      </w:pPr>
      <w:r w:rsidRPr="001A56B6">
        <w:rPr>
          <w:rFonts w:ascii="Century" w:hAnsi="Century" w:cs="Miriam" w:hint="cs"/>
          <w:b/>
          <w:spacing w:val="0"/>
          <w:szCs w:val="24"/>
          <w:rtl/>
        </w:rPr>
        <w:t>המצב הביטחוני ומספר מעשי הטרור</w:t>
      </w:r>
      <w:r w:rsidRPr="001A56B6">
        <w:rPr>
          <w:rFonts w:hint="cs"/>
          <w:rtl/>
        </w:rPr>
        <w:t xml:space="preserve"> </w:t>
      </w:r>
      <w:r>
        <w:rPr>
          <w:rtl/>
        </w:rPr>
        <w:t>–</w:t>
      </w:r>
      <w:r>
        <w:rPr>
          <w:rFonts w:hint="cs"/>
          <w:rtl/>
        </w:rPr>
        <w:t xml:space="preserve"> כפי שציינה גם חברתי השופטת </w:t>
      </w:r>
      <w:proofErr w:type="spellStart"/>
      <w:r w:rsidRPr="00DA0DF2">
        <w:rPr>
          <w:rFonts w:ascii="Century" w:hAnsi="Century" w:cs="Miriam" w:hint="cs"/>
          <w:b/>
          <w:spacing w:val="0"/>
          <w:sz w:val="22"/>
          <w:szCs w:val="24"/>
          <w:rtl/>
        </w:rPr>
        <w:t>וילנר</w:t>
      </w:r>
      <w:proofErr w:type="spellEnd"/>
      <w:r w:rsidRPr="00DA0DF2">
        <w:rPr>
          <w:rFonts w:ascii="Century" w:hAnsi="Century" w:cs="Miriam" w:hint="cs"/>
          <w:b/>
          <w:spacing w:val="0"/>
          <w:sz w:val="22"/>
          <w:szCs w:val="24"/>
          <w:rtl/>
        </w:rPr>
        <w:t xml:space="preserve"> </w:t>
      </w:r>
      <w:r>
        <w:rPr>
          <w:rFonts w:hint="cs"/>
          <w:rtl/>
        </w:rPr>
        <w:t xml:space="preserve">בפסקה 10 לפסק דינה, התקופה הנוכחית היא תקופה מתוחה, בה מבוצעים מעשי טרור רבים וחמורים, המעמידים בסכנה משמעותית את שלומם וביטחונם של תושבי המדינה. תקופה כזו מחייבת היערכות ביטחונית מיוחדת שתמנע או למצער תצמצם במידה המרבית האפשרית את הסיכון הזה, ותאפשר לתושבי המדינה חיים בטוחים ושלווים. </w:t>
      </w:r>
    </w:p>
    <w:p w:rsidR="00AD2F60" w:rsidRDefault="00AD2F60" w:rsidP="00AD2F60">
      <w:pPr>
        <w:pStyle w:val="Ruller41"/>
        <w:rPr>
          <w:rtl/>
        </w:rPr>
      </w:pPr>
    </w:p>
    <w:p w:rsidR="00AD2F60" w:rsidRDefault="00AD2F60" w:rsidP="00AD2F60">
      <w:pPr>
        <w:pStyle w:val="Ruller4"/>
        <w:rPr>
          <w:rtl/>
        </w:rPr>
      </w:pPr>
      <w:r w:rsidRPr="001A56B6">
        <w:rPr>
          <w:rFonts w:ascii="Century" w:hAnsi="Century" w:cs="Miriam" w:hint="cs"/>
          <w:b/>
          <w:spacing w:val="0"/>
          <w:szCs w:val="24"/>
          <w:rtl/>
        </w:rPr>
        <w:t>חומרת המעשה</w:t>
      </w:r>
      <w:r w:rsidRPr="001A56B6">
        <w:rPr>
          <w:rFonts w:hint="cs"/>
          <w:rtl/>
        </w:rPr>
        <w:t xml:space="preserve"> </w:t>
      </w:r>
      <w:r>
        <w:rPr>
          <w:rtl/>
        </w:rPr>
        <w:t>–</w:t>
      </w:r>
      <w:r>
        <w:rPr>
          <w:rFonts w:hint="cs"/>
          <w:rtl/>
        </w:rPr>
        <w:t xml:space="preserve"> למותר לציין כי כל מעשה טרור הוא חמור ונפשע. הדברים יפים ביתר שאת לגבי מעשה הטרור שביצע המפגע שאליו מתייחסת העתירה הנוכחית </w:t>
      </w:r>
      <w:r>
        <w:rPr>
          <w:rtl/>
        </w:rPr>
        <w:t>–</w:t>
      </w:r>
      <w:r>
        <w:rPr>
          <w:rFonts w:hint="cs"/>
          <w:rtl/>
        </w:rPr>
        <w:t xml:space="preserve"> ירייה מטווח קרוב במספר עוברי אורח בלב העיר תל אביב, שכתוצאה ממנה נהרג אור אשכר ז"ל בדמי ימיו ונפצעו שניים אחרים </w:t>
      </w:r>
      <w:r>
        <w:rPr>
          <w:rtl/>
        </w:rPr>
        <w:t>–</w:t>
      </w:r>
      <w:r>
        <w:rPr>
          <w:rFonts w:hint="cs"/>
          <w:rtl/>
        </w:rPr>
        <w:t xml:space="preserve"> שלושה אזרחים חפים מפשע, שנפגעו </w:t>
      </w:r>
      <w:r>
        <w:rPr>
          <w:rtl/>
        </w:rPr>
        <w:t>–</w:t>
      </w:r>
      <w:r>
        <w:rPr>
          <w:rFonts w:hint="cs"/>
          <w:rtl/>
        </w:rPr>
        <w:t xml:space="preserve"> הם וכל הקרובים להם </w:t>
      </w:r>
      <w:r>
        <w:rPr>
          <w:rtl/>
        </w:rPr>
        <w:t>–</w:t>
      </w:r>
      <w:r>
        <w:rPr>
          <w:rFonts w:hint="cs"/>
          <w:rtl/>
        </w:rPr>
        <w:t xml:space="preserve"> על לא עוול בכפם. </w:t>
      </w:r>
    </w:p>
    <w:p w:rsidR="00AD2F60" w:rsidRDefault="00AD2F60" w:rsidP="00AD2F60">
      <w:pPr>
        <w:pStyle w:val="Ruller41"/>
        <w:rPr>
          <w:rtl/>
        </w:rPr>
      </w:pPr>
    </w:p>
    <w:p w:rsidR="00AD2F60" w:rsidRDefault="00AD2F60" w:rsidP="00AD2F60">
      <w:pPr>
        <w:pStyle w:val="Ruller4"/>
      </w:pPr>
      <w:r w:rsidRPr="001A56B6">
        <w:rPr>
          <w:rFonts w:cs="Miriam" w:hint="cs"/>
          <w:b/>
          <w:spacing w:val="0"/>
          <w:szCs w:val="24"/>
          <w:rtl/>
        </w:rPr>
        <w:t xml:space="preserve">עמדת בני </w:t>
      </w:r>
      <w:r>
        <w:rPr>
          <w:rFonts w:cs="Miriam" w:hint="cs"/>
          <w:b/>
          <w:spacing w:val="0"/>
          <w:szCs w:val="24"/>
          <w:rtl/>
        </w:rPr>
        <w:t>משפחת המפגע</w:t>
      </w:r>
      <w:r w:rsidRPr="001A56B6">
        <w:rPr>
          <w:rFonts w:cs="Miriam" w:hint="cs"/>
          <w:b/>
          <w:spacing w:val="0"/>
          <w:szCs w:val="24"/>
          <w:rtl/>
        </w:rPr>
        <w:t xml:space="preserve"> כלפי המעשה</w:t>
      </w:r>
      <w:r w:rsidRPr="001A56B6">
        <w:rPr>
          <w:rFonts w:hint="cs"/>
          <w:rtl/>
        </w:rPr>
        <w:t xml:space="preserve"> </w:t>
      </w:r>
      <w:r>
        <w:rPr>
          <w:rtl/>
        </w:rPr>
        <w:t>–</w:t>
      </w:r>
      <w:r>
        <w:rPr>
          <w:rFonts w:hint="cs"/>
          <w:rtl/>
        </w:rPr>
        <w:t xml:space="preserve"> כפי שהבהרתי, לשיקול זה יש לטעמי משקל רב. כפי שיפורט להלן, המקרה דנן איננו מקרה מובהק בו בני המשפחה היו שותפים למעשהו של המפגע; והוא אף אינו מקרה מובהק בו לבני המשפחה לא הייתה כל דרך לדעת על תכניותיו של המפגע והם כולם הסתייגו מהמעשה. </w:t>
      </w:r>
    </w:p>
    <w:p w:rsidR="00AD2F60" w:rsidRPr="00FC3C3E"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כזכור, המפגע התגורר בדירה יחד עם הוריו, אחיו בן ה-26 ואחותו בת ה-13. המדינה לא טענה כי מי מבני המשפחה ידע מראש על אודות כוונותיו הנפשעות של המפגע. יחד עם זאת, הפסיקה קבעה כי ניתן להסיק מסקנות ביחס לידיעה אפשרית של בני המשפחה גם באופן נסיבתי, למשל </w:t>
      </w:r>
      <w:r>
        <w:rPr>
          <w:rtl/>
        </w:rPr>
        <w:t>–</w:t>
      </w:r>
      <w:r>
        <w:rPr>
          <w:rFonts w:hint="cs"/>
          <w:rtl/>
        </w:rPr>
        <w:t xml:space="preserve"> מטיב היחסים של בני המשפחה עם המפגע; או מנורות אזהרה אפשריות כמו התרועעות עם מי שמזוהה עם ארגוני טרור וכיו"ב (ראו: עניין </w:t>
      </w:r>
      <w:r w:rsidRPr="00E56C39">
        <w:rPr>
          <w:rFonts w:ascii="Century" w:hAnsi="Century" w:cs="Miriam" w:hint="eastAsia"/>
          <w:b/>
          <w:spacing w:val="0"/>
          <w:sz w:val="22"/>
          <w:szCs w:val="24"/>
          <w:rtl/>
        </w:rPr>
        <w:t>מרעי</w:t>
      </w:r>
      <w:r>
        <w:rPr>
          <w:rFonts w:hint="cs"/>
          <w:rtl/>
        </w:rPr>
        <w:t xml:space="preserve">, פסקה 8 לחוות דעתה של השופטת </w:t>
      </w:r>
      <w:r w:rsidRPr="00C32D1E">
        <w:rPr>
          <w:rFonts w:ascii="Century" w:hAnsi="Century" w:cs="Miriam" w:hint="cs"/>
          <w:b/>
          <w:spacing w:val="0"/>
          <w:sz w:val="22"/>
          <w:szCs w:val="24"/>
          <w:rtl/>
        </w:rPr>
        <w:t>ברון</w:t>
      </w:r>
      <w:r>
        <w:rPr>
          <w:rFonts w:hint="cs"/>
          <w:rtl/>
        </w:rPr>
        <w:t xml:space="preserve">).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במקרה דנן, היו נורות אזהרה מסוימות ביחס למפגע ולעמדותיו. המפגע היה בעבר פעיל חמאס והוא אף נכלא בין היתר בשל מעורבות בפיגוע ירי לעבר כוח צבאי. לכן, אין מדובר במי שבני המשפחה לא יכלו לחשוד כי עלול להיות מעורב בפעילות טרור, גם אם הם לא היו מודעים באופן קונקרטי לתכניותיו.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זאת ועוד </w:t>
      </w:r>
      <w:r>
        <w:rPr>
          <w:rtl/>
        </w:rPr>
        <w:t>–</w:t>
      </w:r>
      <w:r>
        <w:rPr>
          <w:rFonts w:hint="cs"/>
          <w:rtl/>
        </w:rPr>
        <w:t xml:space="preserve"> אביו של המפגע שהוא לגישת המשיב בעל הדירה בה המפגע התגורר, הוא פעיל חמאס שהיה כלוא בעבר. האב אף פרסם בדיעבד, לאחר הפיגוע, סרטון לאומני ובו תמיכה בטרור ובמעשי בנו. לגישתו של השופט </w:t>
      </w:r>
      <w:r w:rsidRPr="0021726B">
        <w:rPr>
          <w:rFonts w:ascii="Century" w:hAnsi="Century" w:cs="Miriam" w:hint="eastAsia"/>
          <w:b/>
          <w:spacing w:val="0"/>
          <w:szCs w:val="24"/>
          <w:rtl/>
        </w:rPr>
        <w:t>עמית</w:t>
      </w:r>
      <w:r w:rsidRPr="004C6F09">
        <w:rPr>
          <w:rtl/>
        </w:rPr>
        <w:t xml:space="preserve"> </w:t>
      </w:r>
      <w:r>
        <w:rPr>
          <w:rFonts w:hint="cs"/>
          <w:rtl/>
        </w:rPr>
        <w:t>ב</w:t>
      </w:r>
      <w:r w:rsidRPr="004C6F09">
        <w:rPr>
          <w:rFonts w:hint="eastAsia"/>
          <w:rtl/>
        </w:rPr>
        <w:t>בג</w:t>
      </w:r>
      <w:r w:rsidRPr="004C6F09">
        <w:rPr>
          <w:rtl/>
        </w:rPr>
        <w:t>"</w:t>
      </w:r>
      <w:r w:rsidRPr="004C6F09">
        <w:rPr>
          <w:rFonts w:hint="eastAsia"/>
          <w:rtl/>
        </w:rPr>
        <w:t>ץ</w:t>
      </w:r>
      <w:r w:rsidRPr="004C6F09">
        <w:rPr>
          <w:rtl/>
        </w:rPr>
        <w:t xml:space="preserve"> 5943/17 </w:t>
      </w:r>
      <w:r w:rsidRPr="0021726B">
        <w:rPr>
          <w:rFonts w:ascii="Century" w:hAnsi="Century" w:cs="Miriam" w:hint="eastAsia"/>
          <w:b/>
          <w:spacing w:val="0"/>
          <w:szCs w:val="24"/>
          <w:rtl/>
        </w:rPr>
        <w:t>פלוני</w:t>
      </w:r>
      <w:r w:rsidRPr="0021726B">
        <w:rPr>
          <w:rFonts w:ascii="Century" w:hAnsi="Century" w:cs="Miriam"/>
          <w:b/>
          <w:spacing w:val="0"/>
          <w:szCs w:val="24"/>
          <w:rtl/>
        </w:rPr>
        <w:t xml:space="preserve"> </w:t>
      </w:r>
      <w:r w:rsidRPr="0021726B">
        <w:rPr>
          <w:rFonts w:ascii="Century" w:hAnsi="Century" w:cs="Miriam" w:hint="eastAsia"/>
          <w:b/>
          <w:spacing w:val="0"/>
          <w:szCs w:val="24"/>
          <w:rtl/>
        </w:rPr>
        <w:t>נ</w:t>
      </w:r>
      <w:r w:rsidRPr="0021726B">
        <w:rPr>
          <w:rFonts w:ascii="Century" w:hAnsi="Century" w:cs="Miriam"/>
          <w:b/>
          <w:spacing w:val="0"/>
          <w:szCs w:val="24"/>
          <w:rtl/>
        </w:rPr>
        <w:t xml:space="preserve">' </w:t>
      </w:r>
      <w:r w:rsidRPr="0021726B">
        <w:rPr>
          <w:rFonts w:ascii="Century" w:hAnsi="Century" w:cs="Miriam" w:hint="eastAsia"/>
          <w:b/>
          <w:spacing w:val="0"/>
          <w:szCs w:val="24"/>
          <w:rtl/>
        </w:rPr>
        <w:t>מפקד</w:t>
      </w:r>
      <w:r w:rsidRPr="0021726B">
        <w:rPr>
          <w:rFonts w:ascii="Century" w:hAnsi="Century" w:cs="Miriam"/>
          <w:b/>
          <w:spacing w:val="0"/>
          <w:szCs w:val="24"/>
          <w:rtl/>
        </w:rPr>
        <w:t xml:space="preserve"> </w:t>
      </w:r>
      <w:r w:rsidRPr="0021726B">
        <w:rPr>
          <w:rFonts w:ascii="Century" w:hAnsi="Century" w:cs="Miriam" w:hint="eastAsia"/>
          <w:b/>
          <w:spacing w:val="0"/>
          <w:szCs w:val="24"/>
          <w:rtl/>
        </w:rPr>
        <w:t>כוחות</w:t>
      </w:r>
      <w:r w:rsidRPr="0021726B">
        <w:rPr>
          <w:rFonts w:ascii="Century" w:hAnsi="Century" w:cs="Miriam"/>
          <w:b/>
          <w:spacing w:val="0"/>
          <w:szCs w:val="24"/>
          <w:rtl/>
        </w:rPr>
        <w:t xml:space="preserve"> </w:t>
      </w:r>
      <w:r w:rsidRPr="0021726B">
        <w:rPr>
          <w:rFonts w:ascii="Century" w:hAnsi="Century" w:cs="Miriam" w:hint="eastAsia"/>
          <w:b/>
          <w:spacing w:val="0"/>
          <w:szCs w:val="24"/>
          <w:rtl/>
        </w:rPr>
        <w:t>צה</w:t>
      </w:r>
      <w:r w:rsidRPr="0021726B">
        <w:rPr>
          <w:rFonts w:ascii="Century" w:hAnsi="Century" w:cs="Miriam"/>
          <w:b/>
          <w:spacing w:val="0"/>
          <w:szCs w:val="24"/>
          <w:rtl/>
        </w:rPr>
        <w:t>"</w:t>
      </w:r>
      <w:r w:rsidRPr="0021726B">
        <w:rPr>
          <w:rFonts w:ascii="Century" w:hAnsi="Century" w:cs="Miriam" w:hint="eastAsia"/>
          <w:b/>
          <w:spacing w:val="0"/>
          <w:szCs w:val="24"/>
          <w:rtl/>
        </w:rPr>
        <w:t>ל</w:t>
      </w:r>
      <w:r w:rsidRPr="0021726B">
        <w:rPr>
          <w:rFonts w:ascii="Century" w:hAnsi="Century" w:cs="Miriam"/>
          <w:b/>
          <w:spacing w:val="0"/>
          <w:szCs w:val="24"/>
          <w:rtl/>
        </w:rPr>
        <w:t xml:space="preserve"> </w:t>
      </w:r>
      <w:r w:rsidRPr="0021726B">
        <w:rPr>
          <w:rFonts w:ascii="Century" w:hAnsi="Century" w:cs="Miriam" w:hint="eastAsia"/>
          <w:b/>
          <w:spacing w:val="0"/>
          <w:szCs w:val="24"/>
          <w:rtl/>
        </w:rPr>
        <w:t>בגדה</w:t>
      </w:r>
      <w:r w:rsidRPr="0021726B">
        <w:rPr>
          <w:rFonts w:ascii="Century" w:hAnsi="Century" w:cs="Miriam"/>
          <w:b/>
          <w:spacing w:val="0"/>
          <w:szCs w:val="24"/>
          <w:rtl/>
        </w:rPr>
        <w:t xml:space="preserve"> </w:t>
      </w:r>
      <w:r w:rsidRPr="0021726B">
        <w:rPr>
          <w:rFonts w:ascii="Century" w:hAnsi="Century" w:cs="Miriam" w:hint="eastAsia"/>
          <w:b/>
          <w:spacing w:val="0"/>
          <w:szCs w:val="24"/>
          <w:rtl/>
        </w:rPr>
        <w:t>המערבית</w:t>
      </w:r>
      <w:r w:rsidRPr="004C6F09">
        <w:rPr>
          <w:rtl/>
        </w:rPr>
        <w:t xml:space="preserve"> (</w:t>
      </w:r>
      <w:r>
        <w:rPr>
          <w:rFonts w:hint="cs"/>
          <w:rtl/>
        </w:rPr>
        <w:t>3</w:t>
      </w:r>
      <w:r w:rsidRPr="004C6F09">
        <w:rPr>
          <w:rtl/>
        </w:rPr>
        <w:t>.</w:t>
      </w:r>
      <w:r>
        <w:rPr>
          <w:rFonts w:hint="cs"/>
          <w:rtl/>
        </w:rPr>
        <w:t>8</w:t>
      </w:r>
      <w:r w:rsidRPr="004C6F09">
        <w:rPr>
          <w:rtl/>
        </w:rPr>
        <w:t>.2017)</w:t>
      </w:r>
      <w:r>
        <w:rPr>
          <w:rFonts w:hint="cs"/>
          <w:rtl/>
        </w:rPr>
        <w:t xml:space="preserve">, יש בכך כדי להעיד כי האב לא היה מנסה למנוע את הפיגוע ומוסר את בנו לידי הרשויות גם לו היה יודע על כוונותיו (שם, בפסקה 9). אף אם אלה אינם בהכרח פני הדברים, הרי לעמדתו של אביו של המפגע, בעל הזכויות בבית לפי הנטען, יש בוודאי משקל בבחינת מכלול השיקולים לצורך עריכת האיזון המידתי בהקשר של הריסה אפשרית של הבית.   </w:t>
      </w:r>
    </w:p>
    <w:p w:rsidR="00AD2F60" w:rsidRDefault="00AD2F60" w:rsidP="00AD2F60">
      <w:pPr>
        <w:pStyle w:val="Ruller41"/>
        <w:rPr>
          <w:rtl/>
        </w:rPr>
      </w:pPr>
    </w:p>
    <w:p w:rsidR="00AD2F60" w:rsidRDefault="00AD2F60" w:rsidP="00AD2F60">
      <w:pPr>
        <w:pStyle w:val="Ruller41"/>
        <w:rPr>
          <w:rtl/>
        </w:rPr>
      </w:pPr>
      <w:r>
        <w:rPr>
          <w:rFonts w:hint="cs"/>
          <w:rtl/>
        </w:rPr>
        <w:t>21.</w:t>
      </w:r>
      <w:r>
        <w:rPr>
          <w:rFonts w:hint="cs"/>
          <w:rtl/>
        </w:rPr>
        <w:tab/>
      </w:r>
      <w:r w:rsidRPr="00E56C39">
        <w:rPr>
          <w:rFonts w:ascii="Century" w:hAnsi="Century" w:cs="Miriam" w:hint="eastAsia"/>
          <w:b/>
          <w:spacing w:val="0"/>
          <w:szCs w:val="24"/>
          <w:rtl/>
        </w:rPr>
        <w:t>זיקת</w:t>
      </w:r>
      <w:r w:rsidRPr="00E56C39">
        <w:rPr>
          <w:rFonts w:ascii="Century" w:hAnsi="Century" w:cs="Miriam"/>
          <w:b/>
          <w:spacing w:val="0"/>
          <w:szCs w:val="24"/>
          <w:rtl/>
        </w:rPr>
        <w:t xml:space="preserve"> </w:t>
      </w:r>
      <w:r w:rsidRPr="00E56C39">
        <w:rPr>
          <w:rFonts w:ascii="Century" w:hAnsi="Century" w:cs="Miriam" w:hint="eastAsia"/>
          <w:b/>
          <w:spacing w:val="0"/>
          <w:szCs w:val="24"/>
          <w:rtl/>
        </w:rPr>
        <w:t>המגורים</w:t>
      </w:r>
      <w:r w:rsidRPr="00E56C39">
        <w:rPr>
          <w:rFonts w:ascii="Century" w:hAnsi="Century" w:cs="Miriam"/>
          <w:b/>
          <w:spacing w:val="0"/>
          <w:szCs w:val="24"/>
          <w:rtl/>
        </w:rPr>
        <w:t xml:space="preserve"> </w:t>
      </w:r>
      <w:r w:rsidRPr="00E56C39">
        <w:rPr>
          <w:rFonts w:ascii="Century" w:hAnsi="Century" w:cs="Miriam" w:hint="eastAsia"/>
          <w:b/>
          <w:spacing w:val="0"/>
          <w:szCs w:val="24"/>
          <w:rtl/>
        </w:rPr>
        <w:t>של</w:t>
      </w:r>
      <w:r w:rsidRPr="00E56C39">
        <w:rPr>
          <w:rFonts w:ascii="Century" w:hAnsi="Century" w:cs="Miriam"/>
          <w:b/>
          <w:spacing w:val="0"/>
          <w:szCs w:val="24"/>
          <w:rtl/>
        </w:rPr>
        <w:t xml:space="preserve"> </w:t>
      </w:r>
      <w:r w:rsidRPr="00E56C39">
        <w:rPr>
          <w:rFonts w:ascii="Century" w:hAnsi="Century" w:cs="Miriam" w:hint="eastAsia"/>
          <w:b/>
          <w:spacing w:val="0"/>
          <w:szCs w:val="24"/>
          <w:rtl/>
        </w:rPr>
        <w:t>המפגע</w:t>
      </w:r>
      <w:r w:rsidRPr="00E56C39">
        <w:rPr>
          <w:rFonts w:ascii="Century" w:hAnsi="Century" w:cs="Miriam"/>
          <w:b/>
          <w:spacing w:val="0"/>
          <w:szCs w:val="24"/>
          <w:rtl/>
        </w:rPr>
        <w:t xml:space="preserve"> </w:t>
      </w:r>
      <w:r w:rsidRPr="00E56C39">
        <w:rPr>
          <w:rFonts w:ascii="Century" w:hAnsi="Century" w:cs="Miriam" w:hint="eastAsia"/>
          <w:b/>
          <w:spacing w:val="0"/>
          <w:szCs w:val="24"/>
          <w:rtl/>
        </w:rPr>
        <w:t>לדירה</w:t>
      </w:r>
      <w:r w:rsidRPr="00421E45">
        <w:rPr>
          <w:rFonts w:hint="cs"/>
          <w:rtl/>
        </w:rPr>
        <w:t xml:space="preserve"> </w:t>
      </w:r>
      <w:r>
        <w:rPr>
          <w:rtl/>
        </w:rPr>
        <w:t>–</w:t>
      </w:r>
      <w:r>
        <w:rPr>
          <w:rFonts w:hint="cs"/>
          <w:rtl/>
        </w:rPr>
        <w:t xml:space="preserve"> כפי שהבהירה חברתי בפסק דינה, העותר טען כי הדירה שהמשיב מתכוון להרוס היא בבעלותו שלו. עמדת המשיב הייתה שונה והיא גובתה בראיות חסויות שהוצגו לבית המשפט. על כל פנים, לגישת המשיב, גם אם מדובר בדירה בבעלות העותר שהושכרה לבני משפחת המפגע, לא יהיה בכך כדי לשנות את תוצאת פסק הדין. יחד עם זאת, ב"כ המשיב הסכים כי שאלת הבעלות בדירה עשויה להיות אחד הנושאים שיובאו בחשבון בבחינת המידתיות של ההריסה (ראו פרוטוקול הדיון מיום 4.5.2023, עמ' 2 שורות 26-27).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אין חולק כי המפגע גר בדירה שהמשיב מבקש להרוס כרווק המתגורר עם הוריו, וכי אחד החדרים בדירה היה חדרו (בו הוא ישן יחד עם אחיו). לנושא זה אתייחס להלן. </w:t>
      </w:r>
    </w:p>
    <w:p w:rsidR="00AD2F60" w:rsidRDefault="00AD2F60" w:rsidP="00AD2F60">
      <w:pPr>
        <w:pStyle w:val="Ruller41"/>
        <w:rPr>
          <w:rtl/>
        </w:rPr>
      </w:pPr>
    </w:p>
    <w:p w:rsidR="00AD2F60" w:rsidRDefault="00AD2F60" w:rsidP="00AD2F60">
      <w:pPr>
        <w:pStyle w:val="Ruller4"/>
        <w:rPr>
          <w:rtl/>
        </w:rPr>
      </w:pPr>
      <w:r>
        <w:rPr>
          <w:rFonts w:ascii="Century" w:hAnsi="Century" w:cs="Miriam" w:hint="cs"/>
          <w:b/>
          <w:spacing w:val="0"/>
          <w:szCs w:val="24"/>
          <w:rtl/>
        </w:rPr>
        <w:lastRenderedPageBreak/>
        <w:t xml:space="preserve">שקילת </w:t>
      </w:r>
      <w:r w:rsidRPr="00DD6AC8">
        <w:rPr>
          <w:rFonts w:ascii="Century" w:hAnsi="Century" w:cs="Miriam" w:hint="cs"/>
          <w:b/>
          <w:spacing w:val="0"/>
          <w:szCs w:val="24"/>
          <w:rtl/>
        </w:rPr>
        <w:t xml:space="preserve">אמצעים מידתיים </w:t>
      </w:r>
      <w:r>
        <w:rPr>
          <w:rFonts w:ascii="Century" w:hAnsi="Century" w:cs="Miriam" w:hint="cs"/>
          <w:b/>
          <w:spacing w:val="0"/>
          <w:szCs w:val="24"/>
          <w:rtl/>
        </w:rPr>
        <w:t>יותר</w:t>
      </w:r>
      <w:r w:rsidRPr="00DD6AC8">
        <w:rPr>
          <w:rFonts w:ascii="Century" w:hAnsi="Century" w:cs="Miriam" w:hint="cs"/>
          <w:b/>
          <w:spacing w:val="0"/>
          <w:szCs w:val="24"/>
          <w:rtl/>
        </w:rPr>
        <w:t xml:space="preserve"> </w:t>
      </w:r>
      <w:r>
        <w:rPr>
          <w:rFonts w:ascii="Century" w:hAnsi="Century" w:cs="Miriam" w:hint="cs"/>
          <w:b/>
          <w:spacing w:val="0"/>
          <w:szCs w:val="24"/>
          <w:rtl/>
        </w:rPr>
        <w:t>מ</w:t>
      </w:r>
      <w:r w:rsidRPr="00DD6AC8">
        <w:rPr>
          <w:rFonts w:ascii="Century" w:hAnsi="Century" w:cs="Miriam" w:hint="cs"/>
          <w:b/>
          <w:spacing w:val="0"/>
          <w:szCs w:val="24"/>
          <w:rtl/>
        </w:rPr>
        <w:t>הריסה של בית המשפחה כולו</w:t>
      </w:r>
      <w:r w:rsidRPr="004E6DDB">
        <w:rPr>
          <w:rFonts w:hint="cs"/>
          <w:rtl/>
        </w:rPr>
        <w:t xml:space="preserve"> </w:t>
      </w:r>
      <w:r>
        <w:rPr>
          <w:rtl/>
        </w:rPr>
        <w:t>–</w:t>
      </w:r>
      <w:r>
        <w:rPr>
          <w:rFonts w:hint="cs"/>
          <w:rtl/>
        </w:rPr>
        <w:t xml:space="preserve"> כאמור, גם שאלה זו היא אחת השאלות השנויות במחלוקת בין הצדדים, כאשר עמדתו החלופית של העותר היא כי יש לאטום את חדרו של המפגע חלף הריסת הדירה כולה. המפגע עצמו אינו בעל הדירה אלא מי שחי בדירת הוריו, וכאשר רק אחד החדרים בדירה מוגדר כחדרו שלו, בו הוא התגורר יחד עם אחיו. כאמור, אילו היה מדובר במספר יחידות מגורים הניתנות להפרדה, נראה כי היה מקום להרוס רק את זו בה התגורר המפגע ולא את היחידות בהן גרו בני המשפחה האחרים שלו ואשר לו עצמו אין זיקת מגורים אליהן. זאת על אף שהריסה כזו היא בעלת ערך הרתעתי קטן הרבה יותר, אם בכלל.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המדינה התנגדה לאפשרות החלופית שלה טען העותר, כי רק חדרו של המפגע ייאטם. זאת בשל המלאכותיות של אטימה כזו כאשר מדובר בדירת מגורים אחת; החשש מפני אפשרות אכיפתה לאחר האיטום; והעובדה שאיטום כזה פוגע במטרת ההרתעה.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אכן, אין דומה הריסה של יחידת מגורים נפרדת בה מתגורר המפגע, להריסה או אטימה של חדר אחד מדירת מגורים שכל בני המשפחה חיים בה יחדיו ועושים שימוש משותף ב"חלקים הציבוריים שלה". בהתייחס לאפשרות האכיפה של האיטום, נראה כי זהו קושי שניתן לצמצמו באופן משמעותי באמצעות איטום הרמטי שלא ניתן לפנותו או להסירו. באשר למטרת ההרתעה </w:t>
      </w:r>
      <w:r>
        <w:rPr>
          <w:rtl/>
        </w:rPr>
        <w:t>–</w:t>
      </w:r>
      <w:r>
        <w:rPr>
          <w:rFonts w:hint="cs"/>
          <w:rtl/>
        </w:rPr>
        <w:t xml:space="preserve"> הרי שכפי שכבר נאמר, אם המטרה העיקרית של ההריסה היא פגיעה בבני המשפחה החיים יחד עם המפגע, מטרה זו תיפגע אם רק חדרו של המפגע ייאטם. </w:t>
      </w:r>
    </w:p>
    <w:p w:rsidR="00AD2F60" w:rsidRDefault="00AD2F60" w:rsidP="00AD2F60">
      <w:pPr>
        <w:pStyle w:val="Ruller41"/>
        <w:rPr>
          <w:rtl/>
        </w:rPr>
      </w:pPr>
    </w:p>
    <w:p w:rsidR="00AD2F60" w:rsidRDefault="00AD2F60" w:rsidP="00AD2F60">
      <w:pPr>
        <w:pStyle w:val="Ruller41"/>
      </w:pPr>
      <w:r>
        <w:rPr>
          <w:rtl/>
        </w:rPr>
        <w:tab/>
      </w:r>
      <w:r>
        <w:rPr>
          <w:rFonts w:hint="cs"/>
          <w:rtl/>
        </w:rPr>
        <w:t xml:space="preserve">לכן, אף אם יהיה מקום בנסיבות מסוימות לקבוע כי יש לאטום את חדרו של המפגע בלבד ולא להרוס את כל הדירה, יש לייחד אפשרות זאת למקרים בהם לבני המשפחה אין כל קשר לפיגוע, והם לא הביעו כל תמיכה בו ובאידיאולוגיה של המפגע. כפי שהבהרתי לעיל </w:t>
      </w:r>
      <w:r>
        <w:rPr>
          <w:rtl/>
        </w:rPr>
        <w:t>–</w:t>
      </w:r>
      <w:r>
        <w:rPr>
          <w:rFonts w:hint="cs"/>
          <w:rtl/>
        </w:rPr>
        <w:t xml:space="preserve"> מקרה זה אינו אחד המקרים הללו. </w:t>
      </w:r>
    </w:p>
    <w:p w:rsidR="00AD2F60" w:rsidRDefault="00AD2F60" w:rsidP="00AD2F60">
      <w:pPr>
        <w:pStyle w:val="Ruller41"/>
        <w:rPr>
          <w:rtl/>
        </w:rPr>
      </w:pPr>
    </w:p>
    <w:p w:rsidR="00AD2F60" w:rsidRDefault="00AD2F60" w:rsidP="00AD2F60">
      <w:pPr>
        <w:pStyle w:val="Ruller41"/>
        <w:rPr>
          <w:rFonts w:ascii="Century" w:hAnsi="Century" w:cs="Miriam"/>
          <w:b/>
          <w:spacing w:val="0"/>
          <w:szCs w:val="24"/>
          <w:rtl/>
        </w:rPr>
      </w:pPr>
      <w:r>
        <w:rPr>
          <w:rFonts w:ascii="Century" w:hAnsi="Century" w:cs="Miriam" w:hint="cs"/>
          <w:b/>
          <w:spacing w:val="0"/>
          <w:szCs w:val="24"/>
          <w:rtl/>
        </w:rPr>
        <w:t>סיכומם של דברים</w:t>
      </w:r>
    </w:p>
    <w:p w:rsidR="00AD2F60" w:rsidRPr="00EE7AFB" w:rsidRDefault="00AD2F60" w:rsidP="00AD2F60">
      <w:pPr>
        <w:pStyle w:val="Ruller41"/>
        <w:rPr>
          <w:rFonts w:ascii="Century" w:hAnsi="Century" w:cs="Miriam"/>
          <w:b/>
          <w:spacing w:val="0"/>
          <w:szCs w:val="24"/>
          <w:rtl/>
        </w:rPr>
      </w:pPr>
    </w:p>
    <w:p w:rsidR="00AD2F60" w:rsidRDefault="00AD2F60" w:rsidP="00AD2F60">
      <w:pPr>
        <w:pStyle w:val="Ruller4"/>
      </w:pPr>
      <w:r>
        <w:rPr>
          <w:rFonts w:hint="cs"/>
          <w:rtl/>
        </w:rPr>
        <w:t xml:space="preserve">יישום הקריטריונים על נסיבות המקרה דנן הביא אותי, לא בלי התלבטות,  למסקנה לפיה יש לדחות את העתירה. </w:t>
      </w:r>
    </w:p>
    <w:p w:rsidR="00AD2F60" w:rsidRDefault="00AD2F60" w:rsidP="00AD2F60">
      <w:pPr>
        <w:pStyle w:val="Ruller4"/>
        <w:numPr>
          <w:ilvl w:val="0"/>
          <w:numId w:val="0"/>
        </w:numPr>
        <w:rPr>
          <w:rtl/>
        </w:rPr>
      </w:pPr>
    </w:p>
    <w:p w:rsidR="00AD2F60" w:rsidRDefault="00AD2F60" w:rsidP="00AD2F60">
      <w:pPr>
        <w:pStyle w:val="Ruller4"/>
        <w:numPr>
          <w:ilvl w:val="0"/>
          <w:numId w:val="0"/>
        </w:numPr>
        <w:rPr>
          <w:rtl/>
        </w:rPr>
      </w:pPr>
      <w:r>
        <w:rPr>
          <w:rtl/>
        </w:rPr>
        <w:tab/>
      </w:r>
      <w:r>
        <w:rPr>
          <w:rFonts w:hint="cs"/>
          <w:rtl/>
        </w:rPr>
        <w:t xml:space="preserve">המעשה שביצע המפגע במקרה דנן הוא מעשה טרור נפשע בעל חומרה רבה ביותר שנעשה בתקופה מתוחה מאוד. ההריסה נועדה להרתיע מפגעים עתידיים ואת בני משפחותיהם, וכאמור בהתאם לעמדת המדינה העדכנית, מדובר בפעולה שיש לה בדרך </w:t>
      </w:r>
      <w:r>
        <w:rPr>
          <w:rFonts w:hint="cs"/>
          <w:rtl/>
        </w:rPr>
        <w:lastRenderedPageBreak/>
        <w:t xml:space="preserve">כלל אפקט מרתיע העולה על האפקט של "הגברת השנאה" שאף הוא עלול להתרחש כתוצאה מהריסת הבית.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באשר לפגיעה בבני המשפחה החיים עם המפגע </w:t>
      </w:r>
      <w:r>
        <w:rPr>
          <w:rtl/>
        </w:rPr>
        <w:t>–</w:t>
      </w:r>
      <w:r>
        <w:rPr>
          <w:rFonts w:hint="cs"/>
          <w:rtl/>
        </w:rPr>
        <w:t xml:space="preserve"> המפגע אינו גר בדירה שהיא בבעלותו, אלא בדירה שאביו הוא בעל הזכויות בה, והמפגע חי בה יחד עם יתר בני משפחתו. עם זאת, יש לתת משקל משמעותי לכך שהאב, בעל הזכויות בדירה שיתר בני המשפחה חיים בביתו, הוא פעיל חמאס וכי לאחר הפיגוע הוא הביע תמיכה ברורה במעשי בנו ובטרור בכלל.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בהתחשב במכלול הנסיבות האלה, אני סבורה כי אף שהנזק שצפוי להיגרם לביתו של האב, וכנגזרת </w:t>
      </w:r>
      <w:r>
        <w:rPr>
          <w:rtl/>
        </w:rPr>
        <w:t>–</w:t>
      </w:r>
      <w:r>
        <w:rPr>
          <w:rFonts w:hint="cs"/>
          <w:rtl/>
        </w:rPr>
        <w:t xml:space="preserve"> הנזק ליתר בני המשפחה החיים עמו, הוא נזק קשה וחמור, הרי שבמקרה זה אין לקבוע בהתאם להלכה הפסוקה כי הוא אינו מידתי. משכך, אינני סבורה גם כי יש לקבל את הבקשה החלופית של העותר כי רק חדרו של המפגע ייאטם.  </w:t>
      </w: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לכן, ובהתאם לכל האמור לעיל, אני סבורה כמו חברותיי כי בנסיבות המקרה דנן, דין העתירה להידחות; ואני מצטרפת לכן לעמדתן. </w:t>
      </w:r>
    </w:p>
    <w:p w:rsidR="00AD2F60" w:rsidRPr="0024615A" w:rsidRDefault="00AD2F60" w:rsidP="00AD2F60">
      <w:pPr>
        <w:pStyle w:val="Ruller41"/>
      </w:pPr>
    </w:p>
    <w:p w:rsidR="00AD2F60" w:rsidRDefault="00AD2F60" w:rsidP="00AD2F60">
      <w:pPr>
        <w:pStyle w:val="Ruller41"/>
        <w:rPr>
          <w:rtl/>
        </w:rPr>
      </w:pPr>
      <w:r>
        <w:rPr>
          <w:rtl/>
        </w:rPr>
        <w:tab/>
      </w:r>
      <w:r>
        <w:rPr>
          <w:rtl/>
        </w:rPr>
        <w:tab/>
      </w:r>
      <w:r>
        <w:rPr>
          <w:rtl/>
        </w:rPr>
        <w:tab/>
      </w:r>
      <w:r>
        <w:rPr>
          <w:rtl/>
        </w:rPr>
        <w:tab/>
      </w:r>
      <w:r>
        <w:rPr>
          <w:rtl/>
        </w:rPr>
        <w:tab/>
      </w:r>
      <w:r>
        <w:rPr>
          <w:rtl/>
        </w:rPr>
        <w:tab/>
      </w:r>
      <w:r>
        <w:rPr>
          <w:rtl/>
        </w:rPr>
        <w:tab/>
      </w:r>
      <w:r>
        <w:rPr>
          <w:rtl/>
        </w:rPr>
        <w:tab/>
      </w:r>
      <w:r>
        <w:rPr>
          <w:rtl/>
        </w:rPr>
        <w:tab/>
      </w:r>
      <w:r>
        <w:rPr>
          <w:rtl/>
        </w:rPr>
        <w:tab/>
      </w:r>
      <w:r>
        <w:rPr>
          <w:rFonts w:hint="cs"/>
          <w:rtl/>
        </w:rPr>
        <w:t>ש ו פ ט ת</w:t>
      </w:r>
    </w:p>
    <w:p w:rsidR="00AD2F60" w:rsidRDefault="00AD2F60" w:rsidP="00AD2F60">
      <w:pPr>
        <w:pStyle w:val="Ruller41"/>
        <w:rPr>
          <w:rtl/>
        </w:rPr>
      </w:pPr>
    </w:p>
    <w:p w:rsidR="00AD2F60" w:rsidRDefault="00AD2F60" w:rsidP="00AD2F60">
      <w:pPr>
        <w:pStyle w:val="Ruller41"/>
        <w:rPr>
          <w:rtl/>
        </w:rPr>
      </w:pPr>
    </w:p>
    <w:p w:rsidR="00AD2F60" w:rsidRDefault="00AD2F60" w:rsidP="00AD2F60">
      <w:pPr>
        <w:pStyle w:val="Ruller41"/>
        <w:rPr>
          <w:rtl/>
        </w:rPr>
      </w:pPr>
      <w:r>
        <w:rPr>
          <w:rtl/>
        </w:rPr>
        <w:tab/>
      </w:r>
      <w:r>
        <w:rPr>
          <w:rFonts w:hint="cs"/>
          <w:rtl/>
        </w:rPr>
        <w:t xml:space="preserve">הוחלט </w:t>
      </w:r>
      <w:r w:rsidR="00BC5EB2">
        <w:rPr>
          <w:rFonts w:hint="cs"/>
          <w:rtl/>
        </w:rPr>
        <w:t xml:space="preserve">פה אחד </w:t>
      </w:r>
      <w:r>
        <w:rPr>
          <w:rFonts w:hint="cs"/>
          <w:rtl/>
        </w:rPr>
        <w:t>לדחות את העתירה</w:t>
      </w:r>
      <w:r w:rsidR="00BC5EB2">
        <w:rPr>
          <w:rFonts w:hint="cs"/>
          <w:rtl/>
        </w:rPr>
        <w:t>,</w:t>
      </w:r>
      <w:r>
        <w:rPr>
          <w:rFonts w:hint="cs"/>
          <w:rtl/>
        </w:rPr>
        <w:t xml:space="preserve"> כאמור בפסק דינה של השופטת </w:t>
      </w:r>
      <w:r w:rsidRPr="00792560">
        <w:rPr>
          <w:rFonts w:ascii="Century" w:hAnsi="Century" w:cs="Miriam" w:hint="cs"/>
          <w:b/>
          <w:spacing w:val="0"/>
          <w:szCs w:val="24"/>
          <w:rtl/>
        </w:rPr>
        <w:t xml:space="preserve">י' </w:t>
      </w:r>
      <w:proofErr w:type="spellStart"/>
      <w:r w:rsidRPr="00792560">
        <w:rPr>
          <w:rFonts w:ascii="Century" w:hAnsi="Century" w:cs="Miriam" w:hint="cs"/>
          <w:b/>
          <w:spacing w:val="0"/>
          <w:szCs w:val="24"/>
          <w:rtl/>
        </w:rPr>
        <w:t>וילנר</w:t>
      </w:r>
      <w:proofErr w:type="spellEnd"/>
      <w:r>
        <w:rPr>
          <w:rFonts w:hint="cs"/>
          <w:rtl/>
        </w:rPr>
        <w:t xml:space="preserve">. </w:t>
      </w:r>
    </w:p>
    <w:p w:rsidR="00AD2F60" w:rsidRDefault="00AD2F60" w:rsidP="00AD2F60">
      <w:pPr>
        <w:pStyle w:val="Ruller41"/>
        <w:rPr>
          <w:rtl/>
        </w:rPr>
      </w:pPr>
    </w:p>
    <w:p w:rsidR="00AD2F60" w:rsidRDefault="00AD2F60" w:rsidP="00AD2F60">
      <w:pPr>
        <w:pStyle w:val="Ruller41"/>
        <w:rPr>
          <w:rtl/>
        </w:rPr>
      </w:pPr>
      <w:r>
        <w:rPr>
          <w:rtl/>
        </w:rPr>
        <w:tab/>
        <w:t xml:space="preserve">ניתן היום, </w:t>
      </w:r>
      <w:r>
        <w:rPr>
          <w:rFonts w:hint="eastAsia"/>
          <w:rtl/>
        </w:rPr>
        <w:t>‏י</w:t>
      </w:r>
      <w:r>
        <w:rPr>
          <w:rtl/>
        </w:rPr>
        <w:t xml:space="preserve">"ח באייר </w:t>
      </w:r>
      <w:proofErr w:type="spellStart"/>
      <w:r>
        <w:rPr>
          <w:rtl/>
        </w:rPr>
        <w:t>התשפ"ג</w:t>
      </w:r>
      <w:proofErr w:type="spellEnd"/>
      <w:r>
        <w:rPr>
          <w:rtl/>
        </w:rPr>
        <w:t xml:space="preserve"> (</w:t>
      </w:r>
      <w:r>
        <w:rPr>
          <w:rFonts w:hint="eastAsia"/>
          <w:rtl/>
        </w:rPr>
        <w:t>‏</w:t>
      </w:r>
      <w:r>
        <w:rPr>
          <w:rtl/>
        </w:rPr>
        <w:t>9.5.2023).</w:t>
      </w:r>
    </w:p>
    <w:p w:rsidR="00AD2F60" w:rsidRPr="00AD2F60" w:rsidRDefault="00AD2F60" w:rsidP="00AD2F60">
      <w:pPr>
        <w:pStyle w:val="Ruller41"/>
        <w:rPr>
          <w:rtl/>
        </w:rPr>
      </w:pPr>
    </w:p>
    <w:p w:rsidR="003846A8" w:rsidRDefault="003846A8" w:rsidP="003846A8">
      <w:pPr>
        <w:pStyle w:val="Ruller41"/>
        <w:rPr>
          <w:rFonts w:ascii="Century" w:hAnsi="Century"/>
          <w:rtl/>
        </w:rPr>
      </w:pPr>
    </w:p>
    <w:p w:rsidR="003846A8" w:rsidRPr="00ED4D4E" w:rsidRDefault="003846A8" w:rsidP="003846A8">
      <w:pPr>
        <w:pStyle w:val="Ruller41"/>
      </w:pPr>
      <w:r>
        <w:rPr>
          <w:rtl/>
        </w:rPr>
        <w:tab/>
      </w:r>
    </w:p>
    <w:p w:rsidR="003846A8" w:rsidRPr="003846A8" w:rsidRDefault="003846A8" w:rsidP="003846A8">
      <w:pPr>
        <w:pStyle w:val="Ruller41"/>
        <w:rPr>
          <w:rtl/>
        </w:rPr>
      </w:pPr>
    </w:p>
    <w:tbl>
      <w:tblPr>
        <w:bidiVisual/>
        <w:tblW w:w="8363" w:type="dxa"/>
        <w:tblLook w:val="01E0" w:firstRow="1" w:lastRow="1" w:firstColumn="1" w:lastColumn="1" w:noHBand="0" w:noVBand="0"/>
      </w:tblPr>
      <w:tblGrid>
        <w:gridCol w:w="2787"/>
        <w:gridCol w:w="2788"/>
        <w:gridCol w:w="2788"/>
      </w:tblGrid>
      <w:tr w:rsidR="001A0164" w:rsidTr="00AD2F60">
        <w:tc>
          <w:tcPr>
            <w:tcW w:w="2787" w:type="dxa"/>
            <w:shd w:val="clear" w:color="auto" w:fill="auto"/>
          </w:tcPr>
          <w:p w:rsidR="00016EF1" w:rsidRDefault="0088731A" w:rsidP="00A51FAE">
            <w:pPr>
              <w:pStyle w:val="Ruller41"/>
              <w:rPr>
                <w:rtl/>
              </w:rPr>
            </w:pPr>
            <w:r>
              <w:rPr>
                <w:rtl/>
              </w:rPr>
              <w:t>ש ו פ ט ת</w:t>
            </w:r>
          </w:p>
        </w:tc>
        <w:tc>
          <w:tcPr>
            <w:tcW w:w="2788" w:type="dxa"/>
            <w:shd w:val="clear" w:color="auto" w:fill="auto"/>
          </w:tcPr>
          <w:p w:rsidR="001A0164" w:rsidRDefault="0088731A" w:rsidP="00BA0B08">
            <w:pPr>
              <w:pStyle w:val="Ruller41"/>
              <w:jc w:val="center"/>
              <w:rPr>
                <w:rtl/>
              </w:rPr>
            </w:pPr>
            <w:r>
              <w:rPr>
                <w:rtl/>
              </w:rPr>
              <w:t>ש ו פ ט ת</w:t>
            </w:r>
          </w:p>
        </w:tc>
        <w:tc>
          <w:tcPr>
            <w:tcW w:w="2788" w:type="dxa"/>
            <w:shd w:val="clear" w:color="auto" w:fill="auto"/>
          </w:tcPr>
          <w:p w:rsidR="001A0164" w:rsidRDefault="0088731A" w:rsidP="00BA0B08">
            <w:pPr>
              <w:pStyle w:val="Ruller41"/>
              <w:jc w:val="center"/>
              <w:rPr>
                <w:rtl/>
              </w:rPr>
            </w:pPr>
            <w:r>
              <w:rPr>
                <w:rtl/>
              </w:rPr>
              <w:t>ש ו פ ט ת</w:t>
            </w:r>
          </w:p>
        </w:tc>
      </w:tr>
    </w:tbl>
    <w:p w:rsidR="00044953" w:rsidRDefault="00044953" w:rsidP="00A51FAE">
      <w:pPr>
        <w:pStyle w:val="Ruller41"/>
        <w:rPr>
          <w:rtl/>
        </w:rPr>
      </w:pPr>
    </w:p>
    <w:p w:rsidR="00916FF8" w:rsidRDefault="00916FF8">
      <w:pPr>
        <w:rPr>
          <w:szCs w:val="16"/>
          <w:rtl/>
        </w:rPr>
      </w:pPr>
      <w:r>
        <w:rPr>
          <w:szCs w:val="16"/>
          <w:rtl/>
        </w:rPr>
        <w:t>_________________</w:t>
      </w:r>
      <w:r w:rsidR="00A12E0F">
        <w:rPr>
          <w:rFonts w:hint="cs"/>
          <w:szCs w:val="16"/>
          <w:rtl/>
        </w:rPr>
        <w:t>________</w:t>
      </w:r>
    </w:p>
    <w:p w:rsidR="00916FF8" w:rsidRDefault="00591983" w:rsidP="00B009CC">
      <w:pPr>
        <w:pStyle w:val="Ruller38"/>
        <w:rPr>
          <w:rtl/>
        </w:rPr>
      </w:pPr>
      <w:r>
        <w:rPr>
          <w:sz w:val="16"/>
        </w:rPr>
        <w:t xml:space="preserve"> </w:t>
      </w:r>
      <w:r w:rsidR="00A12E0F">
        <w:rPr>
          <w:sz w:val="16"/>
        </w:rPr>
        <w:t xml:space="preserve">  </w:t>
      </w:r>
      <w:r w:rsidR="0088731A">
        <w:rPr>
          <w:sz w:val="16"/>
        </w:rPr>
        <w:t xml:space="preserve">23032310_R03.docx   </w:t>
      </w:r>
      <w:r w:rsidR="0088731A">
        <w:rPr>
          <w:sz w:val="16"/>
          <w:rtl/>
        </w:rPr>
        <w:t>מה</w:t>
      </w:r>
    </w:p>
    <w:p w:rsidR="00591983" w:rsidRPr="00FC0252" w:rsidRDefault="00591983" w:rsidP="00FC0252">
      <w:pPr>
        <w:pStyle w:val="Ruller38"/>
        <w:rPr>
          <w:rtl/>
        </w:rPr>
      </w:pPr>
      <w:r>
        <w:rPr>
          <w:rtl/>
        </w:rPr>
        <w:t>מרכז מידע, טל'</w:t>
      </w:r>
      <w:r>
        <w:rPr>
          <w:rFonts w:hint="cs"/>
          <w:rtl/>
        </w:rPr>
        <w:t xml:space="preserve"> </w:t>
      </w:r>
      <w:r w:rsidR="00B63343">
        <w:rPr>
          <w:rFonts w:hint="cs"/>
          <w:rtl/>
        </w:rPr>
        <w:t>077</w:t>
      </w:r>
      <w:r>
        <w:rPr>
          <w:rFonts w:hint="cs"/>
          <w:rtl/>
        </w:rPr>
        <w:t>-</w:t>
      </w:r>
      <w:r w:rsidR="00B63343">
        <w:rPr>
          <w:rFonts w:hint="cs"/>
          <w:rtl/>
        </w:rPr>
        <w:t>270</w:t>
      </w:r>
      <w:r w:rsidR="00E21CA9">
        <w:rPr>
          <w:rFonts w:hint="cs"/>
          <w:rtl/>
        </w:rPr>
        <w:t>3</w:t>
      </w:r>
      <w:r w:rsidR="009B38DA">
        <w:rPr>
          <w:rFonts w:hint="cs"/>
          <w:rtl/>
        </w:rPr>
        <w:t>333</w:t>
      </w:r>
      <w:r w:rsidR="00866D0F">
        <w:rPr>
          <w:rFonts w:hint="cs"/>
          <w:rtl/>
        </w:rPr>
        <w:t>, 3852*</w:t>
      </w:r>
      <w:r>
        <w:rPr>
          <w:rFonts w:hint="cs"/>
          <w:rtl/>
        </w:rPr>
        <w:t xml:space="preserve"> ; אתר אינטרנט,  </w:t>
      </w:r>
      <w:hyperlink r:id="rId8" w:history="1">
        <w:r w:rsidR="00FC0252" w:rsidRPr="00BB4C68">
          <w:rPr>
            <w:rStyle w:val="Hyperlink"/>
            <w:sz w:val="16"/>
          </w:rPr>
          <w:t>https://supreme.court.gov.il</w:t>
        </w:r>
      </w:hyperlink>
    </w:p>
    <w:p w:rsidR="003F1F97" w:rsidRDefault="003F1F97" w:rsidP="00591983">
      <w:pPr>
        <w:pStyle w:val="Ruller38"/>
        <w:rPr>
          <w:rtl/>
        </w:rPr>
      </w:pPr>
    </w:p>
    <w:sectPr w:rsidR="003F1F97" w:rsidSect="00591983">
      <w:headerReference w:type="even" r:id="rId9"/>
      <w:headerReference w:type="default" r:id="rId10"/>
      <w:footerReference w:type="even" r:id="rId11"/>
      <w:footerReference w:type="default" r:id="rId12"/>
      <w:headerReference w:type="first" r:id="rId13"/>
      <w:footerReference w:type="first" r:id="rId14"/>
      <w:endnotePr>
        <w:numFmt w:val="lowerLetter"/>
      </w:endnotePr>
      <w:pgSz w:w="11906" w:h="16838" w:code="9"/>
      <w:pgMar w:top="1134" w:right="1797" w:bottom="1440" w:left="1797" w:header="567" w:footer="397" w:gutter="0"/>
      <w:cols w:space="720"/>
      <w:titlePg/>
      <w:bidi/>
      <w:rtlGutter/>
    </w:sectPr>
  </w:body>
</w:document>
</file>

<file path=word/customizations.xml><?xml version="1.0" encoding="utf-8"?>
<wne:tcg xmlns:r="http://schemas.openxmlformats.org/officeDocument/2006/relationships" xmlns:wne="http://schemas.microsoft.com/office/word/2006/wordml">
  <wne:keymaps>
    <wne:keymap wne:kcmPrimary="0433">
      <wne:acd wne:acdName="acd0"/>
    </wne:keymap>
    <wne:keymap wne:kcmPrimary="0434">
      <wne:acd wne:acdName="acd1"/>
    </wne:keymap>
    <wne:keymap wne:kcmPrimary="0435">
      <wne:acd wne:acdName="acd2"/>
    </wne:keymap>
  </wne:keymaps>
  <wne:toolbars>
    <wne:acdManifest>
      <wne:acdEntry wne:acdName="acd0"/>
      <wne:acdEntry wne:acdName="acd1"/>
      <wne:acdEntry wne:acdName="acd2"/>
    </wne:acdManifest>
    <wne:toolbarData r:id="rId1"/>
  </wne:toolbars>
  <wne:acds>
    <wne:acd wne:argValue="AgBSAHUAbABsAGUAcgAgADMA" wne:acdName="acd0" wne:fciIndexBasedOn="0065"/>
    <wne:acd wne:argValue="AgBSAHUAbABsAGUAcgA0AA==" wne:acdName="acd1" wne:fciIndexBasedOn="0065"/>
    <wne:acd wne:argValue="AgBSAHUAbABsAGUAcgA1A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5E33" w:rsidRDefault="00895E33">
      <w:r>
        <w:separator/>
      </w:r>
    </w:p>
  </w:endnote>
  <w:endnote w:type="continuationSeparator" w:id="0">
    <w:p w:rsidR="00895E33" w:rsidRDefault="0089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FrankRuehl">
    <w:panose1 w:val="020E0503060101010101"/>
    <w:charset w:val="00"/>
    <w:family w:val="swiss"/>
    <w:pitch w:val="variable"/>
    <w:sig w:usb0="00000803" w:usb1="00000000" w:usb2="00000000" w:usb3="00000000" w:csb0="00000021" w:csb1="00000000"/>
  </w:font>
  <w:font w:name="Arial TUR">
    <w:altName w:val="Arial"/>
    <w:charset w:val="00"/>
    <w:family w:val="swiss"/>
    <w:pitch w:val="variable"/>
    <w:sig w:usb0="E0002EFF" w:usb1="C000785B" w:usb2="00000009" w:usb3="00000000" w:csb0="000001FF" w:csb1="00000000"/>
  </w:font>
  <w:font w:name="DavidFix">
    <w:charset w:val="B1"/>
    <w:family w:val="auto"/>
    <w:pitch w:val="variable"/>
    <w:sig w:usb0="00001801" w:usb1="00000000" w:usb2="00000000" w:usb3="00000000" w:csb0="00000020" w:csb1="00000000"/>
  </w:font>
  <w:font w:name="Guttman Yad">
    <w:panose1 w:val="02010401010101010101"/>
    <w:charset w:val="B1"/>
    <w:family w:val="auto"/>
    <w:pitch w:val="variable"/>
    <w:sig w:usb0="00000801" w:usb1="4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iriam">
    <w:panose1 w:val="020B0502050101010101"/>
    <w:charset w:val="00"/>
    <w:family w:val="swiss"/>
    <w:pitch w:val="variable"/>
    <w:sig w:usb0="00000803" w:usb1="00000000" w:usb2="00000000" w:usb3="00000000" w:csb0="00000021" w:csb1="00000000"/>
  </w:font>
  <w:font w:name="Century">
    <w:panose1 w:val="0204060405050502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3"/>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3"/>
      <w:rPr>
        <w:rtl/>
      </w:rPr>
    </w:pPr>
  </w:p>
  <w:p w:rsidR="00377102" w:rsidRDefault="0037710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731A" w:rsidRDefault="0088731A">
    <w:pPr>
      <w:pStyle w:val="a3"/>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B4D" w:rsidRPr="00F959DB" w:rsidRDefault="00045B4D" w:rsidP="00914156">
    <w:pPr>
      <w:pStyle w:val="a3"/>
      <w:bidi w:val="0"/>
      <w:jc w:val="right"/>
      <w:rPr>
        <w:sz w:val="16"/>
        <w:szCs w:val="16"/>
      </w:rPr>
    </w:pPr>
    <w:bookmarkStart w:id="6" w:name="footer_line"/>
    <w:bookmarkEnd w:id="6"/>
  </w:p>
  <w:p w:rsidR="00045B4D" w:rsidRDefault="00045B4D">
    <w:pPr>
      <w:pStyle w:val="a3"/>
      <w:rPr>
        <w:rtl/>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5E33" w:rsidRDefault="00895E33">
      <w:r>
        <w:separator/>
      </w:r>
    </w:p>
  </w:footnote>
  <w:footnote w:type="continuationSeparator" w:id="0">
    <w:p w:rsidR="00895E33" w:rsidRDefault="0089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BC0E82">
      <w:rPr>
        <w:rStyle w:val="a5"/>
        <w:noProof/>
        <w:rtl/>
      </w:rPr>
      <w:t>1</w:t>
    </w:r>
    <w:r>
      <w:rPr>
        <w:rStyle w:val="a5"/>
        <w:rtl/>
      </w:rPr>
      <w:fldChar w:fldCharType="end"/>
    </w:r>
  </w:p>
  <w:p w:rsidR="00377102" w:rsidRDefault="00377102">
    <w:pPr>
      <w:pStyle w:val="a6"/>
      <w:rPr>
        <w:rtl/>
      </w:rPr>
    </w:pPr>
  </w:p>
  <w:p w:rsidR="00377102" w:rsidRDefault="0037710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7102" w:rsidRDefault="00377102">
    <w:pPr>
      <w:pStyle w:val="a6"/>
      <w:framePr w:wrap="around" w:vAnchor="text" w:hAnchor="margin" w:xAlign="center" w:y="1"/>
      <w:rPr>
        <w:rStyle w:val="a5"/>
        <w:rtl/>
      </w:rPr>
    </w:pPr>
    <w:r>
      <w:rPr>
        <w:rStyle w:val="a5"/>
        <w:rtl/>
      </w:rPr>
      <w:fldChar w:fldCharType="begin"/>
    </w:r>
    <w:r>
      <w:rPr>
        <w:rStyle w:val="a5"/>
      </w:rPr>
      <w:instrText xml:space="preserve">PAGE  </w:instrText>
    </w:r>
    <w:r>
      <w:rPr>
        <w:rStyle w:val="a5"/>
        <w:rtl/>
      </w:rPr>
      <w:fldChar w:fldCharType="separate"/>
    </w:r>
    <w:r w:rsidR="008C1145">
      <w:rPr>
        <w:rStyle w:val="a5"/>
        <w:noProof/>
        <w:rtl/>
      </w:rPr>
      <w:t>21</w:t>
    </w:r>
    <w:r>
      <w:rPr>
        <w:rStyle w:val="a5"/>
        <w:rtl/>
      </w:rPr>
      <w:fldChar w:fldCharType="end"/>
    </w:r>
  </w:p>
  <w:p w:rsidR="00377102" w:rsidRDefault="00377102">
    <w:pPr>
      <w:pStyle w:val="a6"/>
      <w:rPr>
        <w:rtl/>
      </w:rPr>
    </w:pPr>
  </w:p>
  <w:p w:rsidR="00377102" w:rsidRDefault="00377102"/>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8363" w:type="dxa"/>
      <w:tblLook w:val="0000" w:firstRow="0" w:lastRow="0" w:firstColumn="0" w:lastColumn="0" w:noHBand="0" w:noVBand="0"/>
    </w:tblPr>
    <w:tblGrid>
      <w:gridCol w:w="8363"/>
    </w:tblGrid>
    <w:tr w:rsidR="00045B4D" w:rsidTr="00EC23AC">
      <w:trPr>
        <w:trHeight w:val="342"/>
      </w:trPr>
      <w:tc>
        <w:tcPr>
          <w:tcW w:w="9828" w:type="dxa"/>
        </w:tcPr>
        <w:p w:rsidR="00377102" w:rsidRPr="002F7BB6" w:rsidRDefault="00EE3810" w:rsidP="00045B4D">
          <w:pPr>
            <w:pStyle w:val="Casenameintextbody"/>
            <w:jc w:val="center"/>
            <w:rPr>
              <w:u w:val="none"/>
              <w:rtl/>
            </w:rPr>
          </w:pPr>
          <w:r w:rsidRPr="002F7BB6">
            <w:rPr>
              <w:noProof/>
              <w:sz w:val="16"/>
              <w:szCs w:val="18"/>
              <w:u w:val="none"/>
              <w:rtl/>
            </w:rPr>
            <w:drawing>
              <wp:inline distT="0" distB="0" distL="0" distR="0">
                <wp:extent cx="464820" cy="449580"/>
                <wp:effectExtent l="0" t="0" r="0" b="7620"/>
                <wp:docPr id="1" name="תמונה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4820" cy="449580"/>
                        </a:xfrm>
                        <a:prstGeom prst="rect">
                          <a:avLst/>
                        </a:prstGeom>
                        <a:noFill/>
                        <a:ln>
                          <a:noFill/>
                        </a:ln>
                      </pic:spPr>
                    </pic:pic>
                  </a:graphicData>
                </a:graphic>
              </wp:inline>
            </w:drawing>
          </w:r>
        </w:p>
      </w:tc>
    </w:tr>
  </w:tbl>
  <w:p w:rsidR="00045B4D" w:rsidRDefault="00045B4D" w:rsidP="00045B4D">
    <w:pPr>
      <w:pStyle w:val="a6"/>
      <w:jc w:val="center"/>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77A4F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B8EE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485F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3003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204653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CCE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10264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1A091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046C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B800B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A6001B"/>
    <w:multiLevelType w:val="hybridMultilevel"/>
    <w:tmpl w:val="B2C4B5E4"/>
    <w:lvl w:ilvl="0" w:tplc="5F9C772A">
      <w:start w:val="1"/>
      <w:numFmt w:val="decimal"/>
      <w:pStyle w:val="Ruller4"/>
      <w:lvlText w:val="%1."/>
      <w:lvlJc w:val="left"/>
      <w:pPr>
        <w:tabs>
          <w:tab w:val="num" w:pos="907"/>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FE70B62"/>
    <w:multiLevelType w:val="hybridMultilevel"/>
    <w:tmpl w:val="ADA8711E"/>
    <w:lvl w:ilvl="0" w:tplc="DBB0A036">
      <w:start w:val="1"/>
      <w:numFmt w:val="hebrew1"/>
      <w:pStyle w:val="Ruller40"/>
      <w:lvlText w:val="%1."/>
      <w:lvlJc w:val="left"/>
      <w:pPr>
        <w:tabs>
          <w:tab w:val="num" w:pos="90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0"/>
  <w:defaultTabStop w:val="720"/>
  <w:drawingGridHorizontalSpacing w:val="120"/>
  <w:drawingGridVerticalSpacing w:val="120"/>
  <w:displayVerticalDrawingGridEvery w:val="0"/>
  <w:doNotUseMarginsForDrawingGridOrigin/>
  <w:doNotShadeFormData/>
  <w:noPunctuationKerning/>
  <w:characterSpacingControl w:val="doNotCompress"/>
  <w:footnotePr>
    <w:footnote w:id="-1"/>
    <w:footnote w:id="0"/>
  </w:footnotePr>
  <w:endnotePr>
    <w:numFmt w:val="lowerLette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227"/>
    <w:rsid w:val="00016EF1"/>
    <w:rsid w:val="00032036"/>
    <w:rsid w:val="00036227"/>
    <w:rsid w:val="00044953"/>
    <w:rsid w:val="00045B4D"/>
    <w:rsid w:val="000725F5"/>
    <w:rsid w:val="00072AD2"/>
    <w:rsid w:val="000B1478"/>
    <w:rsid w:val="000C4690"/>
    <w:rsid w:val="000D25C4"/>
    <w:rsid w:val="00134A67"/>
    <w:rsid w:val="00176D08"/>
    <w:rsid w:val="001A0164"/>
    <w:rsid w:val="00200D6B"/>
    <w:rsid w:val="00221A69"/>
    <w:rsid w:val="00265F6E"/>
    <w:rsid w:val="002876BF"/>
    <w:rsid w:val="002A4A7A"/>
    <w:rsid w:val="002A4BF3"/>
    <w:rsid w:val="002F7BB6"/>
    <w:rsid w:val="003448B2"/>
    <w:rsid w:val="00361DB2"/>
    <w:rsid w:val="0037622E"/>
    <w:rsid w:val="00377102"/>
    <w:rsid w:val="003846A8"/>
    <w:rsid w:val="0039709B"/>
    <w:rsid w:val="003D72DA"/>
    <w:rsid w:val="003F1F97"/>
    <w:rsid w:val="0041048F"/>
    <w:rsid w:val="00437D59"/>
    <w:rsid w:val="00440AF1"/>
    <w:rsid w:val="004610A4"/>
    <w:rsid w:val="004B29FF"/>
    <w:rsid w:val="004C7868"/>
    <w:rsid w:val="00503A3E"/>
    <w:rsid w:val="00527F02"/>
    <w:rsid w:val="005803E2"/>
    <w:rsid w:val="0058440A"/>
    <w:rsid w:val="00591983"/>
    <w:rsid w:val="005D6F75"/>
    <w:rsid w:val="00624A42"/>
    <w:rsid w:val="0065522F"/>
    <w:rsid w:val="006A30F7"/>
    <w:rsid w:val="006C42AD"/>
    <w:rsid w:val="00725345"/>
    <w:rsid w:val="00741CC0"/>
    <w:rsid w:val="00792560"/>
    <w:rsid w:val="007B512F"/>
    <w:rsid w:val="007F3A07"/>
    <w:rsid w:val="007F7512"/>
    <w:rsid w:val="00810894"/>
    <w:rsid w:val="008143AB"/>
    <w:rsid w:val="0083345F"/>
    <w:rsid w:val="00836667"/>
    <w:rsid w:val="00866D0F"/>
    <w:rsid w:val="0088731A"/>
    <w:rsid w:val="00895E33"/>
    <w:rsid w:val="008C1145"/>
    <w:rsid w:val="008C2F11"/>
    <w:rsid w:val="008D78B9"/>
    <w:rsid w:val="008E3F85"/>
    <w:rsid w:val="009051E8"/>
    <w:rsid w:val="00914156"/>
    <w:rsid w:val="00916FF8"/>
    <w:rsid w:val="00922093"/>
    <w:rsid w:val="00930C85"/>
    <w:rsid w:val="009B38DA"/>
    <w:rsid w:val="009F2F53"/>
    <w:rsid w:val="009F4187"/>
    <w:rsid w:val="00A12E0F"/>
    <w:rsid w:val="00A51FAE"/>
    <w:rsid w:val="00A80845"/>
    <w:rsid w:val="00AB69F7"/>
    <w:rsid w:val="00AD097B"/>
    <w:rsid w:val="00AD2F60"/>
    <w:rsid w:val="00AD64B9"/>
    <w:rsid w:val="00AE022B"/>
    <w:rsid w:val="00B009CC"/>
    <w:rsid w:val="00B0782A"/>
    <w:rsid w:val="00B62B8C"/>
    <w:rsid w:val="00B63343"/>
    <w:rsid w:val="00B87FF7"/>
    <w:rsid w:val="00BA0B08"/>
    <w:rsid w:val="00BC0E82"/>
    <w:rsid w:val="00BC1E1F"/>
    <w:rsid w:val="00BC5EB2"/>
    <w:rsid w:val="00BD40F9"/>
    <w:rsid w:val="00C41C86"/>
    <w:rsid w:val="00C63A6C"/>
    <w:rsid w:val="00CA13AF"/>
    <w:rsid w:val="00CA1444"/>
    <w:rsid w:val="00CB1590"/>
    <w:rsid w:val="00CB7600"/>
    <w:rsid w:val="00CC0E9D"/>
    <w:rsid w:val="00CC3639"/>
    <w:rsid w:val="00D003C1"/>
    <w:rsid w:val="00D00B1D"/>
    <w:rsid w:val="00D00CB7"/>
    <w:rsid w:val="00D25F16"/>
    <w:rsid w:val="00D63E87"/>
    <w:rsid w:val="00DF5136"/>
    <w:rsid w:val="00E21CA9"/>
    <w:rsid w:val="00E31063"/>
    <w:rsid w:val="00E36FE9"/>
    <w:rsid w:val="00E73E98"/>
    <w:rsid w:val="00E75223"/>
    <w:rsid w:val="00E90D72"/>
    <w:rsid w:val="00EA0BE1"/>
    <w:rsid w:val="00EC23AC"/>
    <w:rsid w:val="00EC2992"/>
    <w:rsid w:val="00ED46A4"/>
    <w:rsid w:val="00ED6FD9"/>
    <w:rsid w:val="00EE3810"/>
    <w:rsid w:val="00F06E89"/>
    <w:rsid w:val="00F11CF4"/>
    <w:rsid w:val="00F63C3B"/>
    <w:rsid w:val="00F959DB"/>
    <w:rsid w:val="00FC025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74131427-08C7-4362-86A4-688A11406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bidi/>
      <w:adjustRightInd w:val="0"/>
      <w:textAlignment w:val="baseline"/>
    </w:pPr>
    <w:rPr>
      <w:rFonts w:cs="David"/>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uller3">
    <w:name w:val="Ruller 3"/>
    <w:basedOn w:val="a"/>
    <w:rsid w:val="00A51FAE"/>
    <w:pPr>
      <w:tabs>
        <w:tab w:val="left" w:pos="3210"/>
        <w:tab w:val="left" w:pos="6753"/>
      </w:tabs>
      <w:spacing w:line="360" w:lineRule="auto"/>
    </w:pPr>
    <w:rPr>
      <w:rFonts w:cs="FrankRuehl"/>
      <w:spacing w:val="10"/>
      <w:sz w:val="22"/>
      <w:szCs w:val="28"/>
    </w:rPr>
  </w:style>
  <w:style w:type="paragraph" w:customStyle="1" w:styleId="Pskdinhead">
    <w:name w:val="Pskdin head"/>
    <w:basedOn w:val="a"/>
    <w:pPr>
      <w:spacing w:line="360" w:lineRule="auto"/>
    </w:pPr>
    <w:rPr>
      <w:b/>
      <w:bCs/>
      <w:u w:val="single"/>
    </w:rPr>
  </w:style>
  <w:style w:type="paragraph" w:customStyle="1" w:styleId="FileNumber">
    <w:name w:val="File Number"/>
    <w:basedOn w:val="a"/>
    <w:pPr>
      <w:spacing w:line="360" w:lineRule="auto"/>
      <w:jc w:val="right"/>
    </w:pPr>
    <w:rPr>
      <w:bCs/>
    </w:rPr>
  </w:style>
  <w:style w:type="paragraph" w:customStyle="1" w:styleId="FirstpagestylePsakdin">
    <w:name w:val="First page style Psak din"/>
    <w:basedOn w:val="Ruller3"/>
    <w:pPr>
      <w:tabs>
        <w:tab w:val="clear" w:pos="3210"/>
        <w:tab w:val="left" w:pos="3209"/>
      </w:tabs>
    </w:pPr>
    <w:rPr>
      <w:bCs/>
    </w:rPr>
  </w:style>
  <w:style w:type="paragraph" w:customStyle="1" w:styleId="TyutaDate">
    <w:name w:val="Tyuta Date"/>
    <w:basedOn w:val="a"/>
    <w:pPr>
      <w:jc w:val="center"/>
    </w:pPr>
    <w:rPr>
      <w:b/>
      <w:bCs/>
      <w:i/>
      <w:iCs/>
      <w:sz w:val="28"/>
      <w:szCs w:val="28"/>
    </w:rPr>
  </w:style>
  <w:style w:type="paragraph" w:customStyle="1" w:styleId="DocumentHead">
    <w:name w:val="Document Head"/>
    <w:basedOn w:val="a"/>
    <w:pPr>
      <w:spacing w:line="360" w:lineRule="auto"/>
      <w:jc w:val="center"/>
    </w:pPr>
    <w:rPr>
      <w:bCs/>
      <w:spacing w:val="30"/>
      <w:szCs w:val="28"/>
      <w:u w:val="single"/>
    </w:rPr>
  </w:style>
  <w:style w:type="paragraph" w:customStyle="1" w:styleId="TfutzaList">
    <w:name w:val="Tfutza List"/>
    <w:basedOn w:val="a"/>
    <w:rPr>
      <w:i/>
      <w:iCs/>
    </w:rPr>
  </w:style>
  <w:style w:type="paragraph" w:customStyle="1" w:styleId="Ruller41">
    <w:name w:val="Ruller4"/>
    <w:basedOn w:val="a"/>
    <w:rsid w:val="00A51FAE"/>
    <w:pPr>
      <w:tabs>
        <w:tab w:val="left" w:pos="800"/>
      </w:tabs>
      <w:spacing w:line="360" w:lineRule="auto"/>
      <w:jc w:val="both"/>
    </w:pPr>
    <w:rPr>
      <w:rFonts w:ascii="Arial TUR" w:hAnsi="Arial TUR" w:cs="FrankRuehl"/>
      <w:spacing w:val="10"/>
      <w:sz w:val="22"/>
      <w:szCs w:val="28"/>
    </w:rPr>
  </w:style>
  <w:style w:type="paragraph" w:customStyle="1" w:styleId="Ruller5">
    <w:name w:val="Ruller5"/>
    <w:basedOn w:val="a"/>
    <w:rsid w:val="00A51FAE"/>
    <w:pPr>
      <w:ind w:left="1642" w:right="1282"/>
      <w:jc w:val="both"/>
    </w:pPr>
    <w:rPr>
      <w:rFonts w:ascii="Arial TUR" w:hAnsi="Arial TUR" w:cs="FrankRuehl"/>
      <w:spacing w:val="10"/>
      <w:sz w:val="22"/>
      <w:szCs w:val="28"/>
    </w:rPr>
  </w:style>
  <w:style w:type="paragraph" w:customStyle="1" w:styleId="Ruller6">
    <w:name w:val="Ruller6"/>
    <w:basedOn w:val="a"/>
    <w:rsid w:val="00A51FAE"/>
    <w:pPr>
      <w:tabs>
        <w:tab w:val="left" w:pos="794"/>
        <w:tab w:val="left" w:pos="2268"/>
        <w:tab w:val="left" w:pos="5783"/>
        <w:tab w:val="left" w:pos="7371"/>
      </w:tabs>
    </w:pPr>
    <w:rPr>
      <w:rFonts w:ascii="Arial TUR" w:hAnsi="Arial TUR" w:cs="DavidFix"/>
      <w:spacing w:val="10"/>
      <w:sz w:val="22"/>
      <w:szCs w:val="20"/>
    </w:rPr>
  </w:style>
  <w:style w:type="character" w:customStyle="1" w:styleId="Delete">
    <w:name w:val="Delete"/>
    <w:rPr>
      <w:strike/>
    </w:rPr>
  </w:style>
  <w:style w:type="paragraph" w:customStyle="1" w:styleId="WriterName">
    <w:name w:val="Writer Name"/>
    <w:basedOn w:val="Ruller41"/>
    <w:next w:val="Ruller41"/>
    <w:rPr>
      <w:rFonts w:cs="David"/>
      <w:b/>
      <w:bCs/>
      <w:u w:val="single"/>
    </w:rPr>
  </w:style>
  <w:style w:type="character" w:customStyle="1" w:styleId="Hand">
    <w:name w:val="Hand"/>
    <w:rPr>
      <w:rFonts w:cs="Guttman Yad"/>
    </w:rPr>
  </w:style>
  <w:style w:type="paragraph" w:styleId="a3">
    <w:name w:val="footer"/>
    <w:basedOn w:val="a"/>
    <w:link w:val="a4"/>
    <w:pPr>
      <w:tabs>
        <w:tab w:val="center" w:pos="4153"/>
        <w:tab w:val="right" w:pos="8306"/>
      </w:tabs>
    </w:pPr>
  </w:style>
  <w:style w:type="character" w:styleId="a5">
    <w:name w:val="page number"/>
    <w:basedOn w:val="a0"/>
  </w:style>
  <w:style w:type="paragraph" w:styleId="a6">
    <w:name w:val="header"/>
    <w:basedOn w:val="a"/>
    <w:link w:val="a7"/>
    <w:pPr>
      <w:tabs>
        <w:tab w:val="center" w:pos="4153"/>
        <w:tab w:val="right" w:pos="8306"/>
      </w:tabs>
    </w:pPr>
  </w:style>
  <w:style w:type="paragraph" w:customStyle="1" w:styleId="2">
    <w:name w:val="ñâðåï2"/>
    <w:basedOn w:val="a"/>
    <w:pPr>
      <w:overflowPunct/>
      <w:textAlignment w:val="auto"/>
    </w:pPr>
    <w:rPr>
      <w:rFonts w:cs="Times New Roman"/>
    </w:rPr>
  </w:style>
  <w:style w:type="paragraph" w:customStyle="1" w:styleId="Casenameintextbody">
    <w:name w:val="Case name in text body"/>
    <w:basedOn w:val="a"/>
    <w:pPr>
      <w:overflowPunct/>
      <w:jc w:val="right"/>
      <w:textAlignment w:val="auto"/>
    </w:pPr>
    <w:rPr>
      <w:rFonts w:cs="Times New Roman"/>
      <w:b/>
      <w:bCs/>
      <w:u w:val="single"/>
    </w:rPr>
  </w:style>
  <w:style w:type="paragraph" w:customStyle="1" w:styleId="precasestyle">
    <w:name w:val="pre_case style"/>
    <w:basedOn w:val="a"/>
    <w:pPr>
      <w:tabs>
        <w:tab w:val="left" w:pos="2552"/>
      </w:tabs>
      <w:overflowPunct/>
      <w:ind w:right="2549"/>
      <w:textAlignment w:val="auto"/>
    </w:pPr>
    <w:rPr>
      <w:rFonts w:cs="Times New Roman"/>
    </w:rPr>
  </w:style>
  <w:style w:type="paragraph" w:customStyle="1" w:styleId="BodyRuller">
    <w:name w:val="Body Ruller"/>
    <w:basedOn w:val="a"/>
    <w:rPr>
      <w:sz w:val="22"/>
      <w:szCs w:val="28"/>
    </w:rPr>
  </w:style>
  <w:style w:type="paragraph" w:customStyle="1" w:styleId="Ruller38">
    <w:name w:val="סגנון Ruller 3 + (מורכב) ‏8 נק"/>
    <w:basedOn w:val="BodyRuller"/>
    <w:rPr>
      <w:szCs w:val="16"/>
    </w:rPr>
  </w:style>
  <w:style w:type="character" w:customStyle="1" w:styleId="Ruller30">
    <w:name w:val="Ruller 3 תו"/>
    <w:rPr>
      <w:rFonts w:cs="FrankRuehl"/>
      <w:sz w:val="22"/>
      <w:szCs w:val="28"/>
      <w:lang w:val="en-US" w:eastAsia="en-US" w:bidi="he-IL"/>
    </w:rPr>
  </w:style>
  <w:style w:type="character" w:customStyle="1" w:styleId="BodyRuller0">
    <w:name w:val="Body Ruller תו"/>
    <w:rPr>
      <w:rFonts w:cs="David"/>
      <w:sz w:val="22"/>
      <w:szCs w:val="28"/>
      <w:lang w:val="en-US" w:eastAsia="en-US" w:bidi="he-IL"/>
    </w:rPr>
  </w:style>
  <w:style w:type="character" w:customStyle="1" w:styleId="Ruller380">
    <w:name w:val="סגנון Ruller 3 + (מורכב) ‏8 נק תו"/>
    <w:rPr>
      <w:rFonts w:cs="David"/>
      <w:sz w:val="22"/>
      <w:szCs w:val="16"/>
      <w:lang w:val="en-US" w:eastAsia="en-US" w:bidi="he-IL"/>
    </w:rPr>
  </w:style>
  <w:style w:type="paragraph" w:customStyle="1" w:styleId="FileNumber0">
    <w:name w:val="סגנון File Number + ימין"/>
    <w:basedOn w:val="FileNumber"/>
    <w:rsid w:val="004C7868"/>
    <w:pPr>
      <w:jc w:val="left"/>
    </w:pPr>
    <w:rPr>
      <w:szCs w:val="28"/>
    </w:rPr>
  </w:style>
  <w:style w:type="paragraph" w:customStyle="1" w:styleId="BODYVERDICT">
    <w:name w:val="BODY VERDICT"/>
    <w:basedOn w:val="a"/>
    <w:rsid w:val="00036227"/>
    <w:rPr>
      <w:rFonts w:cs="FrankRuehl"/>
      <w:spacing w:val="10"/>
      <w:sz w:val="22"/>
      <w:szCs w:val="28"/>
    </w:rPr>
  </w:style>
  <w:style w:type="character" w:styleId="Hyperlink">
    <w:name w:val="Hyperlink"/>
    <w:rsid w:val="003F1F97"/>
    <w:rPr>
      <w:color w:val="0000FF"/>
      <w:u w:val="single"/>
    </w:rPr>
  </w:style>
  <w:style w:type="table" w:styleId="a8">
    <w:name w:val="Table Grid"/>
    <w:basedOn w:val="a1"/>
    <w:rsid w:val="003F1F97"/>
    <w:pPr>
      <w:overflowPunct w:val="0"/>
      <w:autoSpaceDE w:val="0"/>
      <w:autoSpaceDN w:val="0"/>
      <w:bidi/>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a0"/>
    <w:rsid w:val="0058440A"/>
    <w:rPr>
      <w:color w:val="954F72" w:themeColor="followedHyperlink"/>
      <w:u w:val="single"/>
    </w:rPr>
  </w:style>
  <w:style w:type="character" w:styleId="a9">
    <w:name w:val="annotation reference"/>
    <w:basedOn w:val="a0"/>
    <w:rsid w:val="00D00B1D"/>
    <w:rPr>
      <w:sz w:val="16"/>
      <w:szCs w:val="16"/>
    </w:rPr>
  </w:style>
  <w:style w:type="paragraph" w:styleId="aa">
    <w:name w:val="annotation text"/>
    <w:basedOn w:val="a"/>
    <w:link w:val="ab"/>
    <w:rsid w:val="00D00B1D"/>
    <w:rPr>
      <w:szCs w:val="20"/>
    </w:rPr>
  </w:style>
  <w:style w:type="character" w:customStyle="1" w:styleId="ab">
    <w:name w:val="טקסט הערה תו"/>
    <w:basedOn w:val="a0"/>
    <w:link w:val="aa"/>
    <w:rsid w:val="00D00B1D"/>
    <w:rPr>
      <w:rFonts w:cs="David"/>
    </w:rPr>
  </w:style>
  <w:style w:type="paragraph" w:styleId="ac">
    <w:name w:val="annotation subject"/>
    <w:basedOn w:val="aa"/>
    <w:next w:val="aa"/>
    <w:link w:val="ad"/>
    <w:rsid w:val="00D00B1D"/>
    <w:rPr>
      <w:b/>
      <w:bCs/>
    </w:rPr>
  </w:style>
  <w:style w:type="character" w:customStyle="1" w:styleId="ad">
    <w:name w:val="נושא הערה תו"/>
    <w:basedOn w:val="ab"/>
    <w:link w:val="ac"/>
    <w:rsid w:val="00D00B1D"/>
    <w:rPr>
      <w:rFonts w:cs="David"/>
      <w:b/>
      <w:bCs/>
    </w:rPr>
  </w:style>
  <w:style w:type="paragraph" w:styleId="ae">
    <w:name w:val="Balloon Text"/>
    <w:basedOn w:val="a"/>
    <w:link w:val="af"/>
    <w:rsid w:val="00D00B1D"/>
    <w:rPr>
      <w:rFonts w:ascii="Tahoma" w:hAnsi="Tahoma" w:cs="Tahoma"/>
      <w:sz w:val="18"/>
      <w:szCs w:val="18"/>
    </w:rPr>
  </w:style>
  <w:style w:type="character" w:customStyle="1" w:styleId="af">
    <w:name w:val="טקסט בלונים תו"/>
    <w:basedOn w:val="a0"/>
    <w:link w:val="ae"/>
    <w:rsid w:val="00D00B1D"/>
    <w:rPr>
      <w:rFonts w:ascii="Tahoma" w:hAnsi="Tahoma" w:cs="Tahoma"/>
      <w:sz w:val="18"/>
      <w:szCs w:val="18"/>
    </w:rPr>
  </w:style>
  <w:style w:type="character" w:customStyle="1" w:styleId="a4">
    <w:name w:val="כותרת תחתונה תו"/>
    <w:basedOn w:val="a0"/>
    <w:link w:val="a3"/>
    <w:rsid w:val="00AD2F60"/>
    <w:rPr>
      <w:rFonts w:cs="David"/>
      <w:szCs w:val="24"/>
    </w:rPr>
  </w:style>
  <w:style w:type="character" w:customStyle="1" w:styleId="a7">
    <w:name w:val="כותרת עליונה תו"/>
    <w:basedOn w:val="a0"/>
    <w:link w:val="a6"/>
    <w:rsid w:val="00AD2F60"/>
    <w:rPr>
      <w:rFonts w:cs="David"/>
      <w:szCs w:val="24"/>
    </w:rPr>
  </w:style>
  <w:style w:type="paragraph" w:customStyle="1" w:styleId="Ruller4">
    <w:name w:val="Ruller 4 ממוספר"/>
    <w:basedOn w:val="Ruller41"/>
    <w:next w:val="Ruller41"/>
    <w:rsid w:val="00AD2F60"/>
    <w:pPr>
      <w:numPr>
        <w:numId w:val="11"/>
      </w:numPr>
    </w:pPr>
    <w:rPr>
      <w:rFonts w:ascii="Garamond" w:hAnsi="Garamond"/>
      <w:sz w:val="24"/>
    </w:rPr>
  </w:style>
  <w:style w:type="paragraph" w:customStyle="1" w:styleId="Ruller40">
    <w:name w:val="Ruller4 אלפביתי"/>
    <w:basedOn w:val="Ruller41"/>
    <w:next w:val="Ruller41"/>
    <w:rsid w:val="00AD2F60"/>
    <w:pPr>
      <w:numPr>
        <w:numId w:val="12"/>
      </w:numPr>
    </w:pPr>
  </w:style>
  <w:style w:type="paragraph" w:customStyle="1" w:styleId="ruller400">
    <w:name w:val="ruller40"/>
    <w:basedOn w:val="a"/>
    <w:rsid w:val="00AD2F60"/>
    <w:pPr>
      <w:adjustRightInd/>
      <w:spacing w:line="360" w:lineRule="auto"/>
      <w:jc w:val="both"/>
      <w:textAlignment w:val="auto"/>
    </w:pPr>
    <w:rPr>
      <w:rFonts w:ascii="Arial TUR" w:hAnsi="Arial TUR" w:cs="Arial TUR"/>
      <w:spacing w:val="10"/>
      <w:sz w:val="22"/>
      <w:szCs w:val="22"/>
      <w:lang w:bidi="ar-SA"/>
    </w:rPr>
  </w:style>
  <w:style w:type="paragraph" w:customStyle="1" w:styleId="p00">
    <w:name w:val="p00"/>
    <w:basedOn w:val="a"/>
    <w:rsid w:val="00AD2F60"/>
    <w:pPr>
      <w:overflowPunct/>
      <w:autoSpaceDE/>
      <w:autoSpaceDN/>
      <w:bidi w:val="0"/>
      <w:adjustRightInd/>
      <w:spacing w:before="100" w:beforeAutospacing="1" w:after="100" w:afterAutospacing="1"/>
      <w:textAlignment w:val="auto"/>
    </w:pPr>
    <w:rPr>
      <w:rFonts w:cs="Times New Roman"/>
      <w:sz w:val="24"/>
    </w:rPr>
  </w:style>
  <w:style w:type="character" w:customStyle="1" w:styleId="big-number">
    <w:name w:val="big-number"/>
    <w:basedOn w:val="a0"/>
    <w:rsid w:val="00AD2F60"/>
  </w:style>
  <w:style w:type="character" w:customStyle="1" w:styleId="default">
    <w:name w:val="default"/>
    <w:basedOn w:val="a0"/>
    <w:rsid w:val="00AD2F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upreme.court.gov.i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23</Pages>
  <Words>7097</Words>
  <Characters>35485</Characters>
  <Application>Microsoft Office Word</Application>
  <DocSecurity>0</DocSecurity>
  <Lines>295</Lines>
  <Paragraphs>84</Paragraphs>
  <ScaleCrop>false</ScaleCrop>
  <HeadingPairs>
    <vt:vector size="2" baseType="variant">
      <vt:variant>
        <vt:lpstr>שם</vt:lpstr>
      </vt:variant>
      <vt:variant>
        <vt:i4>1</vt:i4>
      </vt:variant>
    </vt:vector>
  </HeadingPairs>
  <TitlesOfParts>
    <vt:vector size="1" baseType="lpstr">
      <vt:lpstr>פסק-דין בתיק בג"ץ  3231/23</vt:lpstr>
    </vt:vector>
  </TitlesOfParts>
  <Company>supreme court of israel</Company>
  <LinksUpToDate>false</LinksUpToDate>
  <CharactersWithSpaces>42498</CharactersWithSpaces>
  <SharedDoc>false</SharedDoc>
  <HLinks>
    <vt:vector size="6" baseType="variant">
      <vt:variant>
        <vt:i4>1966158</vt:i4>
      </vt:variant>
      <vt:variant>
        <vt:i4>12</vt:i4>
      </vt:variant>
      <vt:variant>
        <vt:i4>0</vt:i4>
      </vt:variant>
      <vt:variant>
        <vt:i4>5</vt:i4>
      </vt:variant>
      <vt:variant>
        <vt:lpwstr>http://www.court.gov.il/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פסק-דין בתיק בג"ץ  3231/23</dc:title>
  <dc:subject/>
  <dc:creator>Administrator</dc:creator>
  <cp:keywords/>
  <dc:description/>
  <cp:lastModifiedBy>אסתר טטרואשילי</cp:lastModifiedBy>
  <cp:revision>2</cp:revision>
  <cp:lastPrinted>2023-05-09T04:55:00Z</cp:lastPrinted>
  <dcterms:created xsi:type="dcterms:W3CDTF">2023-05-11T09:50:00Z</dcterms:created>
  <dcterms:modified xsi:type="dcterms:W3CDTF">2023-05-11T09:50:00Z</dcterms:modified>
</cp:coreProperties>
</file>